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pBdr/>
        <w:spacing w:lineRule="auto" w:line="360"/>
        <w:ind w:hanging="708"/>
        <w:jc w:val="center"/>
        <w:rPr>
          <w:rFonts w:ascii="Calibri" w:hAnsi="Calibri" w:eastAsia="Bookman Old Style" w:cs="Bookman Old Style" w:asciiTheme="majorHAnsi" w:hAnsiTheme="majorHAnsi"/>
          <w:color w:val="000000"/>
        </w:rPr>
      </w:pPr>
      <w:r>
        <w:rPr>
          <w:rFonts w:eastAsia="Bookman Old Style" w:cs="Bookman Old Style" w:ascii="Calibri" w:hAnsi="Calibri"/>
          <w:color w:val="000000"/>
        </w:rPr>
      </w:r>
    </w:p>
    <w:p>
      <w:pPr>
        <w:pStyle w:val="Normal1"/>
        <w:pBdr/>
        <w:spacing w:lineRule="auto" w:line="360"/>
        <w:ind w:hanging="708"/>
        <w:jc w:val="center"/>
        <w:rPr>
          <w:rFonts w:ascii="Calibri" w:hAnsi="Calibri" w:eastAsia="Bookman Old Style" w:cs="Bookman Old Style" w:asciiTheme="majorHAnsi" w:hAnsiTheme="majorHAnsi"/>
          <w:b/>
          <w:b/>
          <w:color w:val="000000"/>
        </w:rPr>
      </w:pPr>
      <w:r>
        <w:rPr/>
      </w:r>
    </w:p>
    <w:p>
      <w:pPr>
        <w:pStyle w:val="Normal1"/>
        <w:pBdr/>
        <w:spacing w:lineRule="auto" w:line="360"/>
        <w:ind w:hanging="708"/>
        <w:jc w:val="center"/>
        <w:rPr>
          <w:rFonts w:ascii="Calibri" w:hAnsi="Calibri" w:eastAsia="Bookman Old Style" w:cs="Bookman Old Style" w:asciiTheme="majorHAnsi" w:hAnsiTheme="majorHAnsi"/>
          <w:b/>
          <w:b/>
          <w:color w:val="000000"/>
        </w:rPr>
      </w:pPr>
      <w:r>
        <w:rPr/>
      </w:r>
    </w:p>
    <w:p>
      <w:pPr>
        <w:pStyle w:val="Normal1"/>
        <w:pBdr/>
        <w:spacing w:lineRule="auto" w:line="360"/>
        <w:ind w:hanging="708"/>
        <w:jc w:val="center"/>
        <w:rPr/>
      </w:pPr>
      <w:r>
        <w:rPr>
          <w:rFonts w:eastAsia="Bookman Old Style" w:cs="Bookman Old Style" w:ascii="Calibri" w:hAnsi="Calibri" w:asciiTheme="majorHAnsi" w:hAnsiTheme="majorHAnsi"/>
          <w:b/>
          <w:color w:val="000000"/>
        </w:rPr>
        <w:t xml:space="preserve">REGLAMENT D’ORGANITZACIÓ I FUNCIONAMENT </w:t>
      </w:r>
    </w:p>
    <w:p>
      <w:pPr>
        <w:pStyle w:val="Normal1"/>
        <w:pBdr/>
        <w:spacing w:lineRule="auto" w:line="360"/>
        <w:ind w:hanging="708"/>
        <w:jc w:val="center"/>
        <w:rPr>
          <w:rFonts w:ascii="Calibri" w:hAnsi="Calibri" w:eastAsia="Bookman Old Style" w:cs="Bookman Old Style" w:asciiTheme="majorHAnsi" w:hAnsiTheme="majorHAnsi"/>
          <w:color w:val="000000"/>
        </w:rPr>
      </w:pPr>
      <w:r>
        <w:rPr>
          <w:rFonts w:eastAsia="Bookman Old Style" w:cs="Bookman Old Style" w:ascii="Calibri" w:hAnsi="Calibri" w:asciiTheme="majorHAnsi" w:hAnsiTheme="majorHAnsi"/>
          <w:b/>
          <w:color w:val="000000"/>
        </w:rPr>
        <w:t>DE L’ESCOLA INFANTIL MUNICIPAL DE RÒTOVA</w:t>
      </w:r>
    </w:p>
    <w:p>
      <w:pPr>
        <w:pStyle w:val="Normal1"/>
        <w:spacing w:lineRule="auto" w:line="36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/>
        </w:rPr>
      </w:r>
    </w:p>
    <w:p>
      <w:pPr>
        <w:pStyle w:val="Normal1"/>
        <w:spacing w:lineRule="auto" w:line="36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Arimo" w:cs="Arimo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color w:val="000000"/>
        </w:rPr>
        <w:t>D’acord amb la potestat reglamentària i d’auto-organització reconeguda al municipi per la Llei 7/85, de 2 d’abril, Reguladora de les Bases de Règim Local, i pel Reglament d’Organització, Funcionament i Règim Jurídic de les Entitats Locals (reial decret 2.568, de 28 de novembre de 1986), l’Ajuntament en Ple aprova el Reglament d’Organització i Funcionament de l’Escola Infantil Municipal, el text del qual és el següent: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/>
          <w:color w:val="000000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b/>
          <w:color w:val="000000"/>
        </w:rPr>
        <w:t>Article 1.</w:t>
      </w:r>
      <w:r>
        <w:rPr>
          <w:rFonts w:eastAsia="Verdana" w:cs="Verdana" w:ascii="Calibri" w:hAnsi="Calibri" w:asciiTheme="majorHAnsi" w:hAnsiTheme="majorHAnsi"/>
          <w:color w:val="000000"/>
        </w:rPr>
        <w:t xml:space="preserve"> El present reglament serà d’aplicació en l’àmbit de l’escola infantil municipal.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/>
          <w:color w:val="000000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center"/>
        <w:rPr>
          <w:rFonts w:ascii="Calibri" w:hAnsi="Calibri" w:eastAsia="Verdana" w:cs="Verdana" w:asciiTheme="majorHAnsi" w:hAnsiTheme="majorHAnsi"/>
          <w:color w:val="000000"/>
          <w:u w:val="single"/>
        </w:rPr>
      </w:pPr>
      <w:r>
        <w:rPr>
          <w:rFonts w:eastAsia="Verdana" w:cs="Verdana" w:ascii="Calibri" w:hAnsi="Calibri" w:asciiTheme="majorHAnsi" w:hAnsiTheme="majorHAnsi"/>
          <w:b/>
          <w:color w:val="000000"/>
          <w:u w:val="single"/>
        </w:rPr>
        <w:t>Del personal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  <w:u w:val="single"/>
        </w:rPr>
      </w:pPr>
      <w:r>
        <w:rPr>
          <w:rFonts w:eastAsia="Verdana" w:cs="Verdana" w:ascii="Calibri" w:hAnsi="Calibri"/>
          <w:color w:val="000000"/>
          <w:u w:val="single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b/>
          <w:color w:val="000000"/>
        </w:rPr>
        <w:t>Article 2.</w:t>
      </w:r>
      <w:r>
        <w:rPr>
          <w:rFonts w:eastAsia="Verdana" w:cs="Verdana" w:ascii="Calibri" w:hAnsi="Calibri" w:asciiTheme="majorHAnsi" w:hAnsiTheme="majorHAnsi"/>
          <w:color w:val="000000"/>
        </w:rPr>
        <w:t xml:space="preserve"> L’escola infantil és un servei municipal.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  <w:u w:val="single"/>
        </w:rPr>
      </w:pPr>
      <w:r>
        <w:rPr>
          <w:rFonts w:eastAsia="Verdana" w:cs="Verdana" w:ascii="Calibri" w:hAnsi="Calibri"/>
          <w:color w:val="000000"/>
          <w:u w:val="single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b/>
          <w:color w:val="000000"/>
        </w:rPr>
        <w:t>Article 3.</w:t>
      </w:r>
      <w:r>
        <w:rPr>
          <w:rFonts w:eastAsia="Verdana" w:cs="Verdana" w:ascii="Calibri" w:hAnsi="Calibri" w:asciiTheme="majorHAnsi" w:hAnsiTheme="majorHAnsi"/>
          <w:color w:val="000000"/>
        </w:rPr>
        <w:t xml:space="preserve"> L’escola infantil serà atesa per personal docent i no docent, al servei de l’Administració Local.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  <w:u w:val="single"/>
        </w:rPr>
      </w:pPr>
      <w:r>
        <w:rPr>
          <w:rFonts w:eastAsia="Verdana" w:cs="Verdana" w:ascii="Calibri" w:hAnsi="Calibri"/>
          <w:color w:val="000000"/>
          <w:u w:val="single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b/>
          <w:color w:val="000000"/>
        </w:rPr>
        <w:t>Article 4.</w:t>
      </w:r>
      <w:r>
        <w:rPr>
          <w:rFonts w:eastAsia="Verdana" w:cs="Verdana" w:ascii="Calibri" w:hAnsi="Calibri" w:asciiTheme="majorHAnsi" w:hAnsiTheme="majorHAnsi"/>
          <w:color w:val="000000"/>
        </w:rPr>
        <w:t xml:space="preserve"> El personal de l’escola infantil es regirà per la legislació aplicable en cada cas a les administracions públiques, en allò referent als seus drets i obligacions, règim salarial i de seguretat social, jornada laboral, etc.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  <w:u w:val="single"/>
        </w:rPr>
      </w:pPr>
      <w:r>
        <w:rPr>
          <w:rFonts w:eastAsia="Verdana" w:cs="Verdana" w:ascii="Calibri" w:hAnsi="Calibri"/>
          <w:color w:val="000000"/>
          <w:u w:val="single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b/>
          <w:color w:val="000000"/>
        </w:rPr>
        <w:t>Article 5.</w:t>
      </w:r>
      <w:r>
        <w:rPr>
          <w:rFonts w:eastAsia="Verdana" w:cs="Verdana" w:ascii="Calibri" w:hAnsi="Calibri" w:asciiTheme="majorHAnsi" w:hAnsiTheme="majorHAnsi"/>
          <w:color w:val="000000"/>
        </w:rPr>
        <w:t xml:space="preserve"> Les substitucions del personal de l’escola infantil per motiu de malalties, assistència a cursos i reunions, etc., es farà amb persones idònies per la seua capacitat i experiència, i el seu cost el sufragarà l’ajuntament.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/>
          <w:color w:val="000000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/>
          <w:color w:val="000000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/>
          <w:color w:val="000000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/>
          <w:color w:val="000000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center"/>
        <w:rPr>
          <w:rFonts w:ascii="Calibri" w:hAnsi="Calibri" w:eastAsia="Verdana" w:cs="Verdana" w:asciiTheme="majorHAnsi" w:hAnsiTheme="majorHAnsi"/>
          <w:color w:val="000000"/>
          <w:u w:val="single"/>
        </w:rPr>
      </w:pPr>
      <w:r>
        <w:rPr>
          <w:rFonts w:eastAsia="Verdana" w:cs="Verdana" w:ascii="Calibri" w:hAnsi="Calibri" w:asciiTheme="majorHAnsi" w:hAnsiTheme="majorHAnsi"/>
          <w:b/>
          <w:color w:val="000000"/>
          <w:u w:val="single"/>
        </w:rPr>
        <w:t>Dels òrgans directius i consultius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/>
          <w:color w:val="000000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b/>
          <w:color w:val="000000"/>
        </w:rPr>
        <w:t>Article 6.</w:t>
      </w:r>
      <w:r>
        <w:rPr>
          <w:rFonts w:eastAsia="Verdana" w:cs="Verdana" w:ascii="Calibri" w:hAnsi="Calibri" w:asciiTheme="majorHAnsi" w:hAnsiTheme="majorHAnsi"/>
          <w:color w:val="000000"/>
        </w:rPr>
        <w:t xml:space="preserve"> L’alcaldia té la màxima representació municipal en tots els òrgans directius i consultius de l’escola infantil. Podrà participar, per tant, en totes les reunions que es facen, amb veu i vot.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/>
          <w:color w:val="000000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b/>
          <w:color w:val="000000"/>
        </w:rPr>
        <w:t>Article 7.</w:t>
      </w:r>
      <w:r>
        <w:rPr>
          <w:rFonts w:eastAsia="Verdana" w:cs="Verdana" w:ascii="Calibri" w:hAnsi="Calibri" w:asciiTheme="majorHAnsi" w:hAnsiTheme="majorHAnsi"/>
          <w:color w:val="000000"/>
        </w:rPr>
        <w:t xml:space="preserve"> La representació ordinària i permanent de la corporació en estos òrgans, la tindrà el regidor o regidora que assumeix les competències en matèria d’educació.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/>
          <w:color w:val="000000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b/>
          <w:color w:val="000000"/>
        </w:rPr>
        <w:t>Article 8.</w:t>
      </w:r>
      <w:r>
        <w:rPr>
          <w:rFonts w:eastAsia="Verdana" w:cs="Verdana" w:ascii="Calibri" w:hAnsi="Calibri" w:asciiTheme="majorHAnsi" w:hAnsiTheme="majorHAnsi"/>
          <w:color w:val="000000"/>
        </w:rPr>
        <w:t xml:space="preserve"> L’òrgan encarregat d’elaborar les orientacions educatives i d’intervenció social, i el seguiment de la seua aplicació estarà format per:</w:t>
      </w:r>
    </w:p>
    <w:p>
      <w:pPr>
        <w:pStyle w:val="Normal1"/>
        <w:numPr>
          <w:ilvl w:val="0"/>
          <w:numId w:val="2"/>
        </w:numPr>
        <w:pBdr/>
        <w:tabs>
          <w:tab w:val="clear" w:pos="720"/>
          <w:tab w:val="right" w:pos="9582" w:leader="none"/>
        </w:tabs>
        <w:spacing w:lineRule="auto" w:line="360"/>
        <w:jc w:val="both"/>
        <w:rPr>
          <w:rFonts w:ascii="Calibri" w:hAnsi="Calibri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color w:val="000000"/>
        </w:rPr>
        <w:t>El personal educador de l’escola infantil</w:t>
      </w:r>
    </w:p>
    <w:p>
      <w:pPr>
        <w:pStyle w:val="Normal1"/>
        <w:numPr>
          <w:ilvl w:val="0"/>
          <w:numId w:val="2"/>
        </w:numPr>
        <w:pBdr/>
        <w:tabs>
          <w:tab w:val="clear" w:pos="720"/>
          <w:tab w:val="right" w:pos="9582" w:leader="none"/>
        </w:tabs>
        <w:spacing w:lineRule="auto" w:line="360"/>
        <w:jc w:val="both"/>
        <w:rPr>
          <w:rFonts w:ascii="Calibri" w:hAnsi="Calibri" w:asciiTheme="majorHAnsi" w:hAnsiTheme="majorHAnsi"/>
          <w:b/>
          <w:b/>
          <w:color w:val="38761D"/>
        </w:rPr>
      </w:pPr>
      <w:r>
        <w:rPr>
          <w:rFonts w:eastAsia="Verdana" w:cs="Verdana" w:ascii="Calibri" w:hAnsi="Calibri" w:asciiTheme="majorHAnsi" w:hAnsiTheme="majorHAnsi"/>
        </w:rPr>
        <w:t>El Gabinet Psicopedagògic de Conselleria</w:t>
      </w:r>
      <w:r>
        <w:rPr>
          <w:rFonts w:eastAsia="Verdana" w:cs="Verdana" w:ascii="Calibri" w:hAnsi="Calibri" w:asciiTheme="majorHAnsi" w:hAnsiTheme="majorHAnsi"/>
          <w:b/>
          <w:color w:val="38761D"/>
        </w:rPr>
        <w:t>.</w:t>
      </w:r>
    </w:p>
    <w:p>
      <w:pPr>
        <w:pStyle w:val="Normal1"/>
        <w:numPr>
          <w:ilvl w:val="0"/>
          <w:numId w:val="2"/>
        </w:numPr>
        <w:pBdr/>
        <w:tabs>
          <w:tab w:val="clear" w:pos="720"/>
          <w:tab w:val="right" w:pos="9582" w:leader="none"/>
        </w:tabs>
        <w:spacing w:lineRule="auto" w:line="360"/>
        <w:jc w:val="both"/>
        <w:rPr>
          <w:rFonts w:ascii="Calibri" w:hAnsi="Calibri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color w:val="000000"/>
        </w:rPr>
        <w:t>La representació de l’ajuntament.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/>
          <w:color w:val="000000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b/>
          <w:color w:val="000000"/>
        </w:rPr>
        <w:t>Article 9.</w:t>
      </w:r>
      <w:r>
        <w:rPr>
          <w:rFonts w:eastAsia="Verdana" w:cs="Verdana" w:ascii="Calibri" w:hAnsi="Calibri" w:asciiTheme="majorHAnsi" w:hAnsiTheme="majorHAnsi"/>
          <w:color w:val="000000"/>
        </w:rPr>
        <w:t xml:space="preserve"> Les orientacions educatives s’elaboraran d’acord amb les especificitats socio-culturals del municipi, i es tindrà en compte la línia educativa del centre C.R.A., on s’han d’integrar posteriorment l’alumnat, i en el marc de les orientacions que establisca al respecte la Conselleria de Cultura, Educació i Ciència.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/>
          <w:color w:val="000000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38761D"/>
        </w:rPr>
      </w:pPr>
      <w:r>
        <w:rPr>
          <w:rFonts w:eastAsia="Verdana" w:cs="Verdana" w:ascii="Calibri" w:hAnsi="Calibri" w:asciiTheme="majorHAnsi" w:hAnsiTheme="majorHAnsi"/>
          <w:b/>
          <w:color w:val="000000"/>
        </w:rPr>
        <w:t>Article 10.</w:t>
      </w:r>
      <w:r>
        <w:rPr>
          <w:rFonts w:eastAsia="Verdana" w:cs="Verdana" w:ascii="Calibri" w:hAnsi="Calibri" w:asciiTheme="majorHAnsi" w:hAnsiTheme="majorHAnsi"/>
          <w:color w:val="000000"/>
        </w:rPr>
        <w:t xml:space="preserve"> L’escola infantil comptarà amb un òrgan consultiu i de recolzament format per:  </w:t>
      </w:r>
    </w:p>
    <w:p>
      <w:pPr>
        <w:pStyle w:val="Normal0"/>
        <w:spacing w:lineRule="auto" w:line="360"/>
        <w:jc w:val="both"/>
        <w:rPr>
          <w:rFonts w:ascii="Calibri" w:hAnsi="Calibri" w:asciiTheme="majorHAnsi" w:hAnsiTheme="majorHAnsi"/>
        </w:rPr>
      </w:pPr>
      <w:r>
        <w:rPr>
          <w:rFonts w:asciiTheme="majorHAnsi" w:hAnsiTheme="majorHAnsi" w:ascii="Calibri" w:hAnsi="Calibri"/>
        </w:rPr>
      </w:r>
    </w:p>
    <w:p>
      <w:pPr>
        <w:pStyle w:val="Normal0"/>
        <w:numPr>
          <w:ilvl w:val="0"/>
          <w:numId w:val="5"/>
        </w:numPr>
        <w:spacing w:lineRule="auto" w:line="360"/>
        <w:ind w:left="709" w:hanging="705"/>
        <w:jc w:val="both"/>
        <w:rPr>
          <w:rFonts w:ascii="Calibri" w:hAnsi="Calibri" w:asciiTheme="majorHAnsi" w:hAnsiTheme="majorHAnsi"/>
        </w:rPr>
      </w:pPr>
      <w:r>
        <w:rPr>
          <w:rFonts w:ascii="Calibri" w:hAnsi="Calibri" w:asciiTheme="majorHAnsi" w:hAnsiTheme="majorHAnsi"/>
        </w:rPr>
        <w:t>La representació municipal que estarà integrada per Sr. Alcalde/Alcaldessa o regidor en qui delegue; el regidor/a delegat d’educació, i un representant dels grups de l’oposició.</w:t>
      </w:r>
    </w:p>
    <w:p>
      <w:pPr>
        <w:pStyle w:val="Normal0"/>
        <w:numPr>
          <w:ilvl w:val="0"/>
          <w:numId w:val="5"/>
        </w:numPr>
        <w:spacing w:lineRule="auto" w:line="360"/>
        <w:ind w:left="709" w:hanging="705"/>
        <w:jc w:val="both"/>
        <w:rPr>
          <w:rFonts w:ascii="Calibri" w:hAnsi="Calibri" w:asciiTheme="majorHAnsi" w:hAnsiTheme="majorHAnsi"/>
        </w:rPr>
      </w:pPr>
      <w:r>
        <w:rPr>
          <w:rFonts w:ascii="Calibri" w:hAnsi="Calibri" w:asciiTheme="majorHAnsi" w:hAnsiTheme="majorHAnsi"/>
        </w:rPr>
        <w:t>El personal educador de l’escola infantil.</w:t>
      </w:r>
    </w:p>
    <w:p>
      <w:pPr>
        <w:pStyle w:val="Normal0"/>
        <w:numPr>
          <w:ilvl w:val="0"/>
          <w:numId w:val="5"/>
        </w:numPr>
        <w:spacing w:lineRule="auto" w:line="360"/>
        <w:ind w:left="709" w:hanging="705"/>
        <w:jc w:val="both"/>
        <w:rPr>
          <w:rFonts w:ascii="Calibri" w:hAnsi="Calibri" w:asciiTheme="majorHAnsi" w:hAnsiTheme="majorHAnsi"/>
        </w:rPr>
      </w:pPr>
      <w:r>
        <w:rPr>
          <w:rFonts w:ascii="Calibri" w:hAnsi="Calibri" w:asciiTheme="majorHAnsi" w:hAnsiTheme="majorHAnsi"/>
        </w:rPr>
        <w:t>Una persona elegida entre el conjunt de pares, mares, tutors, tutores o representants legals dels xiquets i xiquetes atesos en l’escola infantil.</w:t>
      </w:r>
    </w:p>
    <w:p>
      <w:pPr>
        <w:pStyle w:val="Normal0"/>
        <w:numPr>
          <w:ilvl w:val="0"/>
          <w:numId w:val="5"/>
        </w:numPr>
        <w:spacing w:lineRule="auto" w:line="360"/>
        <w:ind w:left="709" w:hanging="705"/>
        <w:jc w:val="both"/>
        <w:rPr>
          <w:rFonts w:ascii="Calibri" w:hAnsi="Calibri" w:asciiTheme="majorHAnsi" w:hAnsiTheme="majorHAnsi"/>
        </w:rPr>
      </w:pPr>
      <w:r>
        <w:rPr>
          <w:rFonts w:ascii="Calibri" w:hAnsi="Calibri" w:asciiTheme="majorHAnsi" w:hAnsiTheme="majorHAnsi"/>
        </w:rPr>
        <w:t>Este òrgan consultiu haurà de reunir-se cada curs per primera vegada al mes de setembre/octubre i establir el calendari de reunions durant el curs.</w:t>
      </w:r>
    </w:p>
    <w:p>
      <w:pPr>
        <w:pStyle w:val="Normal1"/>
        <w:pBdr/>
        <w:tabs>
          <w:tab w:val="clear" w:pos="720"/>
          <w:tab w:val="right" w:pos="9582" w:leader="none"/>
        </w:tabs>
        <w:spacing w:lineRule="auto" w:line="360"/>
        <w:ind w:left="1776" w:hanging="0"/>
        <w:jc w:val="both"/>
        <w:rPr>
          <w:rFonts w:ascii="Calibri" w:hAnsi="Calibri" w:asciiTheme="majorHAnsi" w:hAnsiTheme="majorHAnsi"/>
          <w:color w:val="000000"/>
        </w:rPr>
      </w:pPr>
      <w:r>
        <w:rPr>
          <w:rFonts w:asciiTheme="majorHAnsi" w:hAnsiTheme="majorHAnsi" w:ascii="Calibri" w:hAnsi="Calibri"/>
          <w:color w:val="000000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/>
          <w:color w:val="000000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b/>
          <w:color w:val="000000"/>
        </w:rPr>
        <w:t>Article 11.</w:t>
      </w:r>
      <w:r>
        <w:rPr>
          <w:rFonts w:eastAsia="Verdana" w:cs="Verdana" w:ascii="Calibri" w:hAnsi="Calibri" w:asciiTheme="majorHAnsi" w:hAnsiTheme="majorHAnsi"/>
          <w:color w:val="000000"/>
        </w:rPr>
        <w:t xml:space="preserve"> Les funcions d’aquest òrgan consultiu seran:</w:t>
      </w:r>
    </w:p>
    <w:p>
      <w:pPr>
        <w:pStyle w:val="Normal1"/>
        <w:numPr>
          <w:ilvl w:val="0"/>
          <w:numId w:val="1"/>
        </w:numPr>
        <w:pBdr/>
        <w:tabs>
          <w:tab w:val="clear" w:pos="720"/>
          <w:tab w:val="right" w:pos="9582" w:leader="none"/>
        </w:tabs>
        <w:spacing w:lineRule="auto" w:line="360"/>
        <w:ind w:left="1776" w:hanging="360"/>
        <w:jc w:val="both"/>
        <w:rPr>
          <w:rFonts w:ascii="Calibri" w:hAnsi="Calibri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color w:val="000000"/>
        </w:rPr>
        <w:t>Participar en l’orientació educativa de l’escola infantil.</w:t>
      </w:r>
    </w:p>
    <w:p>
      <w:pPr>
        <w:pStyle w:val="Normal1"/>
        <w:numPr>
          <w:ilvl w:val="0"/>
          <w:numId w:val="1"/>
        </w:numPr>
        <w:pBdr/>
        <w:tabs>
          <w:tab w:val="clear" w:pos="720"/>
          <w:tab w:val="right" w:pos="9582" w:leader="none"/>
        </w:tabs>
        <w:spacing w:lineRule="auto" w:line="360"/>
        <w:ind w:left="1776" w:hanging="360"/>
        <w:jc w:val="both"/>
        <w:rPr>
          <w:rFonts w:ascii="Calibri" w:hAnsi="Calibri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color w:val="000000"/>
        </w:rPr>
        <w:t>Participar en les activitats extraescolars.</w:t>
      </w:r>
    </w:p>
    <w:p>
      <w:pPr>
        <w:pStyle w:val="Normal1"/>
        <w:numPr>
          <w:ilvl w:val="0"/>
          <w:numId w:val="1"/>
        </w:numPr>
        <w:pBdr/>
        <w:tabs>
          <w:tab w:val="clear" w:pos="720"/>
          <w:tab w:val="right" w:pos="9582" w:leader="none"/>
        </w:tabs>
        <w:spacing w:lineRule="auto" w:line="360"/>
        <w:ind w:left="1776" w:hanging="360"/>
        <w:jc w:val="both"/>
        <w:rPr>
          <w:rFonts w:ascii="Calibri" w:hAnsi="Calibri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color w:val="000000"/>
        </w:rPr>
        <w:t>Donar la seua opinió respecte a les sancions que es pugen imposar per infraccions al present reglament.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  <w:u w:val="single"/>
        </w:rPr>
      </w:pPr>
      <w:r>
        <w:rPr>
          <w:rFonts w:eastAsia="Verdana" w:cs="Verdana" w:ascii="Calibri" w:hAnsi="Calibri"/>
          <w:color w:val="000000"/>
          <w:u w:val="single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b/>
          <w:color w:val="000000"/>
        </w:rPr>
        <w:t>Article 12.</w:t>
      </w:r>
      <w:r>
        <w:rPr>
          <w:rFonts w:eastAsia="Verdana" w:cs="Verdana" w:ascii="Calibri" w:hAnsi="Calibri" w:asciiTheme="majorHAnsi" w:hAnsiTheme="majorHAnsi"/>
          <w:color w:val="000000"/>
        </w:rPr>
        <w:t xml:space="preserve"> Els òrgans esmentats estableixen lliurement el seu propi calendari de reunions. Com a mínim dues vegades a l’any es convocarà assemblea general dels pares i mares per donar-los informació sobre la marxa de l’escola infantil.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  <w:u w:val="single"/>
        </w:rPr>
      </w:pPr>
      <w:r>
        <w:rPr>
          <w:rFonts w:eastAsia="Verdana" w:cs="Verdana" w:ascii="Calibri" w:hAnsi="Calibri"/>
          <w:color w:val="000000"/>
          <w:u w:val="single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center"/>
        <w:rPr>
          <w:rFonts w:ascii="Calibri" w:hAnsi="Calibri" w:eastAsia="Verdana" w:cs="Verdana" w:asciiTheme="majorHAnsi" w:hAnsiTheme="majorHAnsi"/>
          <w:color w:val="000000"/>
          <w:u w:val="single"/>
        </w:rPr>
      </w:pPr>
      <w:r>
        <w:rPr>
          <w:rFonts w:eastAsia="Verdana" w:cs="Verdana" w:ascii="Calibri" w:hAnsi="Calibri" w:asciiTheme="majorHAnsi" w:hAnsiTheme="majorHAnsi"/>
          <w:b/>
          <w:color w:val="000000"/>
          <w:u w:val="single"/>
        </w:rPr>
        <w:t>Del funcionament de l’escola infantil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/>
          <w:color w:val="000000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b/>
          <w:color w:val="000000"/>
        </w:rPr>
        <w:t>Article 13.</w:t>
      </w:r>
      <w:r>
        <w:rPr>
          <w:rFonts w:eastAsia="Verdana" w:cs="Verdana" w:ascii="Calibri" w:hAnsi="Calibri" w:asciiTheme="majorHAnsi" w:hAnsiTheme="majorHAnsi"/>
          <w:color w:val="000000"/>
        </w:rPr>
        <w:t xml:space="preserve"> El curs començarà en setembre. L’escola infantil estarà en funcionament durant 1</w:t>
      </w:r>
      <w:r>
        <w:rPr>
          <w:rFonts w:eastAsia="Verdana" w:cs="Verdana" w:ascii="Calibri" w:hAnsi="Calibri" w:asciiTheme="majorHAnsi" w:hAnsiTheme="majorHAnsi"/>
        </w:rPr>
        <w:t>0</w:t>
      </w:r>
      <w:r>
        <w:rPr>
          <w:rFonts w:eastAsia="Verdana" w:cs="Verdana" w:ascii="Calibri" w:hAnsi="Calibri" w:asciiTheme="majorHAnsi" w:hAnsiTheme="majorHAnsi"/>
          <w:color w:val="000000"/>
        </w:rPr>
        <w:t xml:space="preserve"> mesos  a l’any </w:t>
      </w:r>
      <w:r>
        <w:rPr>
          <w:rFonts w:eastAsia="Verdana" w:cs="Verdana" w:ascii="Calibri" w:hAnsi="Calibri" w:asciiTheme="majorHAnsi" w:hAnsiTheme="majorHAnsi"/>
        </w:rPr>
        <w:t>(de setembre a juny)</w:t>
      </w:r>
      <w:r>
        <w:rPr>
          <w:rFonts w:eastAsia="Verdana" w:cs="Verdana" w:ascii="Calibri" w:hAnsi="Calibri" w:asciiTheme="majorHAnsi" w:hAnsiTheme="majorHAnsi"/>
          <w:color w:val="000000"/>
        </w:rPr>
        <w:t>. Funcionarà de dilluns a divendres, amb l’horari següent: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/>
          <w:color w:val="000000"/>
        </w:rPr>
      </w:r>
    </w:p>
    <w:p>
      <w:pPr>
        <w:pStyle w:val="Normal1"/>
        <w:widowControl w:val="false"/>
        <w:numPr>
          <w:ilvl w:val="0"/>
          <w:numId w:val="3"/>
        </w:numPr>
        <w:pBdr/>
        <w:tabs>
          <w:tab w:val="clear" w:pos="720"/>
          <w:tab w:val="left" w:pos="1870" w:leader="none"/>
        </w:tabs>
        <w:spacing w:lineRule="auto" w:line="360" w:before="0" w:after="0"/>
        <w:ind w:left="720" w:right="33" w:hanging="360"/>
        <w:contextualSpacing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 w:asciiTheme="majorHAnsi" w:hAnsiTheme="majorHAnsi"/>
        </w:rPr>
        <w:t>Horari escolarització: 09:00h a 12:00h i de 15:00h a 17:00h.</w:t>
      </w:r>
    </w:p>
    <w:p>
      <w:pPr>
        <w:pStyle w:val="Normal1"/>
        <w:widowControl w:val="false"/>
        <w:numPr>
          <w:ilvl w:val="0"/>
          <w:numId w:val="3"/>
        </w:numPr>
        <w:pBdr/>
        <w:tabs>
          <w:tab w:val="clear" w:pos="720"/>
          <w:tab w:val="left" w:pos="1870" w:leader="none"/>
        </w:tabs>
        <w:spacing w:lineRule="auto" w:line="360" w:before="0" w:after="0"/>
        <w:ind w:left="720" w:right="33" w:hanging="360"/>
        <w:contextualSpacing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 w:asciiTheme="majorHAnsi" w:hAnsiTheme="majorHAnsi"/>
        </w:rPr>
        <w:t>Horari d’ampliació: de 08:00h a 09:00h o 08:30h a 09:00h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 w:asciiTheme="majorHAnsi" w:hAnsiTheme="majorHAnsi"/>
        </w:rPr>
        <w:t xml:space="preserve">                                            </w:t>
      </w:r>
      <w:r>
        <w:rPr>
          <w:rFonts w:eastAsia="Verdana" w:cs="Verdana" w:ascii="Calibri" w:hAnsi="Calibri" w:asciiTheme="majorHAnsi" w:hAnsiTheme="majorHAnsi"/>
        </w:rPr>
        <w:t>de 17:00h a 18:00h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  <w:u w:val="single"/>
        </w:rPr>
      </w:pPr>
      <w:r>
        <w:rPr>
          <w:rFonts w:eastAsia="Verdana" w:cs="Verdana" w:ascii="Calibri" w:hAnsi="Calibri"/>
          <w:color w:val="000000"/>
          <w:u w:val="single"/>
        </w:rPr>
      </w:r>
    </w:p>
    <w:p>
      <w:pPr>
        <w:pStyle w:val="Normal"/>
        <w:spacing w:lineRule="auto" w:line="360"/>
        <w:jc w:val="both"/>
        <w:rPr>
          <w:rFonts w:ascii="Calibri" w:hAnsi="Calibri" w:asciiTheme="majorHAnsi" w:hAnsiTheme="majorHAnsi"/>
        </w:rPr>
      </w:pPr>
      <w:r>
        <w:rPr>
          <w:rFonts w:asciiTheme="majorHAnsi" w:hAnsiTheme="majorHAnsi" w:ascii="Calibri" w:hAnsi="Calibri"/>
        </w:rPr>
      </w:r>
    </w:p>
    <w:p>
      <w:pPr>
        <w:pStyle w:val="ListParagraph"/>
        <w:numPr>
          <w:ilvl w:val="0"/>
          <w:numId w:val="6"/>
        </w:numPr>
        <w:spacing w:lineRule="auto" w:line="360"/>
        <w:jc w:val="both"/>
        <w:rPr>
          <w:rFonts w:ascii="Calibri" w:hAnsi="Calibri" w:asciiTheme="majorHAnsi" w:hAnsiTheme="majorHAnsi"/>
        </w:rPr>
      </w:pPr>
      <w:r>
        <w:rPr>
          <w:rFonts w:ascii="Calibri" w:hAnsi="Calibri" w:asciiTheme="majorHAnsi" w:hAnsiTheme="majorHAnsi"/>
        </w:rPr>
        <w:t>L’horari d’entrada serà de 9 a 9’15 i de 15 a 15’15 hores</w:t>
      </w:r>
    </w:p>
    <w:p>
      <w:pPr>
        <w:pStyle w:val="ListParagraph"/>
        <w:numPr>
          <w:ilvl w:val="0"/>
          <w:numId w:val="6"/>
        </w:numPr>
        <w:spacing w:lineRule="auto" w:line="360"/>
        <w:jc w:val="both"/>
        <w:rPr>
          <w:rFonts w:ascii="Calibri" w:hAnsi="Calibri" w:asciiTheme="majorHAnsi" w:hAnsiTheme="majorHAnsi"/>
        </w:rPr>
      </w:pPr>
      <w:r>
        <w:rPr>
          <w:rFonts w:ascii="Calibri" w:hAnsi="Calibri" w:asciiTheme="majorHAnsi" w:hAnsiTheme="majorHAnsi"/>
        </w:rPr>
        <w:t>L’horari d’eixida serà a les 12 hores i de 16’30 a 17 hores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color w:val="000000"/>
        </w:rPr>
        <w:t xml:space="preserve">         </w:t>
      </w:r>
      <w:r>
        <w:rPr>
          <w:rFonts w:eastAsia="Verdana" w:cs="Verdana" w:ascii="Calibri" w:hAnsi="Calibri" w:asciiTheme="majorHAnsi" w:hAnsiTheme="majorHAnsi"/>
          <w:color w:val="000000"/>
        </w:rPr>
        <w:t>Les portes del Centre estaran tancades i no es permetrà l'entrada i eixida dels xiquets fora d'eixe horari. Qualsevol alteració del mateix haurà ser comunicat i aprovat per la direcció de l'Escoleta.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/>
          <w:color w:val="000000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b/>
        </w:rPr>
        <w:t>Calendari escolar i pagament de mensualitats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/>
          <w:color w:val="000000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color w:val="000000"/>
        </w:rPr>
        <w:t>Els dies festius, durant el curs seran els establerts per la Direcció General d’Ensenyament  i el propi ajuntament.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/>
          <w:color w:val="000000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color w:val="000000"/>
        </w:rPr>
        <w:t>El calendari concret a seguir durant el curs, s’entregarà a principi de curs a tots els pares i mares dels xiquets.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/>
          <w:color w:val="000000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color w:val="000000"/>
        </w:rPr>
        <w:t>El preu de la mensualitat correspon a l’assistència del xiquet per jornada completa, encara que potestativament i prèvia comunicació a la Direcció de l’Escoleta, els pares determinaràn el tipus de jornada que més s’adeqüe a les seues necessitats sense que això afecte a la taxa.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b/>
          <w:b/>
          <w:color w:val="000000"/>
        </w:rPr>
      </w:pPr>
      <w:r>
        <w:rPr>
          <w:rFonts w:eastAsia="Verdana" w:cs="Verdana" w:ascii="Calibri" w:hAnsi="Calibri"/>
          <w:b/>
          <w:color w:val="000000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color w:val="000000"/>
        </w:rPr>
        <w:t>L’ horari d’atenció als pares serà:</w:t>
      </w:r>
    </w:p>
    <w:p>
      <w:pPr>
        <w:pStyle w:val="Normal1"/>
        <w:widowControl w:val="false"/>
        <w:numPr>
          <w:ilvl w:val="0"/>
          <w:numId w:val="1"/>
        </w:numPr>
        <w:pBdr/>
        <w:tabs>
          <w:tab w:val="clear" w:pos="720"/>
          <w:tab w:val="right" w:pos="9582" w:leader="none"/>
        </w:tabs>
        <w:spacing w:lineRule="auto" w:line="360"/>
        <w:ind w:left="1281" w:right="33" w:hanging="360"/>
        <w:jc w:val="both"/>
        <w:rPr>
          <w:rFonts w:ascii="Calibri" w:hAnsi="Calibri" w:asciiTheme="majorHAnsi" w:hAnsiTheme="majorHAnsi"/>
        </w:rPr>
      </w:pPr>
      <w:r>
        <w:rPr>
          <w:rFonts w:eastAsia="Verdana" w:cs="Verdana" w:ascii="Calibri" w:hAnsi="Calibri" w:asciiTheme="majorHAnsi" w:hAnsiTheme="majorHAnsi"/>
        </w:rPr>
        <w:t>De dilluns  a divendres de 11:30h a 12:00h.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left="1281" w:right="33" w:hanging="0"/>
        <w:jc w:val="both"/>
        <w:rPr>
          <w:rFonts w:ascii="Calibri" w:hAnsi="Calibri" w:asciiTheme="majorHAnsi" w:hAnsiTheme="majorHAnsi"/>
        </w:rPr>
      </w:pPr>
      <w:r>
        <w:rPr>
          <w:rFonts w:asciiTheme="majorHAnsi" w:hAnsiTheme="majorHAnsi" w:ascii="Calibri" w:hAnsi="Calibri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 w:asciiTheme="majorHAnsi" w:hAnsiTheme="majorHAnsi"/>
          <w:u w:val="single"/>
        </w:rPr>
        <w:t>Període d’adaptació</w:t>
      </w:r>
      <w:r>
        <w:rPr>
          <w:rFonts w:eastAsia="Verdana" w:cs="Verdana" w:ascii="Calibri" w:hAnsi="Calibri" w:asciiTheme="majorHAnsi" w:hAnsiTheme="majorHAnsi"/>
        </w:rPr>
        <w:t>: El procés d’adaptació tindrà una durada màxima d’un mes. Durant els primers dies  es farà un horari curt i una assistència continuada.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center"/>
        <w:rPr>
          <w:rFonts w:ascii="Calibri" w:hAnsi="Calibri" w:eastAsia="Verdana" w:cs="Verdana" w:asciiTheme="majorHAnsi" w:hAnsiTheme="majorHAnsi"/>
          <w:color w:val="000000"/>
          <w:u w:val="single"/>
        </w:rPr>
      </w:pPr>
      <w:r>
        <w:rPr>
          <w:rFonts w:eastAsia="Verdana" w:cs="Verdana" w:ascii="Calibri" w:hAnsi="Calibri" w:asciiTheme="majorHAnsi" w:hAnsiTheme="majorHAnsi"/>
          <w:b/>
          <w:color w:val="000000"/>
          <w:u w:val="single"/>
        </w:rPr>
        <w:t>De les normes d’admissió i matriculació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  <w:u w:val="single"/>
        </w:rPr>
      </w:pPr>
      <w:r>
        <w:rPr>
          <w:rFonts w:eastAsia="Verdana" w:cs="Verdana" w:ascii="Calibri" w:hAnsi="Calibri"/>
          <w:color w:val="000000"/>
          <w:u w:val="single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b/>
          <w:color w:val="000000"/>
        </w:rPr>
        <w:t>Article 14.</w:t>
      </w:r>
      <w:r>
        <w:rPr>
          <w:rFonts w:eastAsia="Verdana" w:cs="Verdana" w:ascii="Calibri" w:hAnsi="Calibri" w:asciiTheme="majorHAnsi" w:hAnsiTheme="majorHAnsi"/>
          <w:color w:val="FF0000"/>
        </w:rPr>
        <w:t xml:space="preserve"> </w:t>
      </w:r>
      <w:r>
        <w:rPr>
          <w:rFonts w:eastAsia="Verdana" w:cs="Verdana" w:ascii="Calibri" w:hAnsi="Calibri" w:asciiTheme="majorHAnsi" w:hAnsiTheme="majorHAnsi"/>
          <w:color w:val="000000"/>
        </w:rPr>
        <w:t>Tindran preferència per ser admesos els xiquets i xiquetes que residisquen en el municipi, que hi siguen empadronats en el municipi, i donat el cas, els pares dels quals treballen.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/>
          <w:color w:val="000000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b/>
          <w:color w:val="000000"/>
        </w:rPr>
        <w:t>Article 15.</w:t>
      </w:r>
      <w:r>
        <w:rPr>
          <w:rFonts w:eastAsia="Verdana" w:cs="Verdana" w:ascii="Calibri" w:hAnsi="Calibri" w:asciiTheme="majorHAnsi" w:hAnsiTheme="majorHAnsi"/>
          <w:color w:val="000000"/>
        </w:rPr>
        <w:t xml:space="preserve"> La matrícula es formalitzarà anualment en els dates que indicarà l’ajuntament. Per a realitzar-la s’haurà de presentar:</w:t>
      </w:r>
    </w:p>
    <w:p>
      <w:pPr>
        <w:pStyle w:val="Normal1"/>
        <w:numPr>
          <w:ilvl w:val="0"/>
          <w:numId w:val="4"/>
        </w:numPr>
        <w:pBdr/>
        <w:tabs>
          <w:tab w:val="clear" w:pos="720"/>
          <w:tab w:val="right" w:pos="9582" w:leader="none"/>
        </w:tabs>
        <w:spacing w:lineRule="auto" w:line="360"/>
        <w:jc w:val="both"/>
        <w:rPr>
          <w:rFonts w:ascii="Calibri" w:hAnsi="Calibri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color w:val="000000"/>
        </w:rPr>
        <w:t>La fotocòpia del llibre de  família</w:t>
      </w:r>
      <w:r>
        <w:rPr>
          <w:rFonts w:eastAsia="Verdana" w:cs="Verdana" w:ascii="Calibri" w:hAnsi="Calibri" w:asciiTheme="majorHAnsi" w:hAnsiTheme="majorHAnsi"/>
          <w:color w:val="FF0000"/>
        </w:rPr>
        <w:t xml:space="preserve"> </w:t>
      </w:r>
    </w:p>
    <w:p>
      <w:pPr>
        <w:pStyle w:val="Normal1"/>
        <w:numPr>
          <w:ilvl w:val="0"/>
          <w:numId w:val="4"/>
        </w:numPr>
        <w:pBdr/>
        <w:tabs>
          <w:tab w:val="clear" w:pos="720"/>
          <w:tab w:val="right" w:pos="9582" w:leader="none"/>
        </w:tabs>
        <w:spacing w:lineRule="auto" w:line="360"/>
        <w:jc w:val="both"/>
        <w:rPr>
          <w:rFonts w:ascii="Calibri" w:hAnsi="Calibri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color w:val="000000"/>
        </w:rPr>
        <w:t>Certificat mèdic respecte a les vacunacions administrades</w:t>
      </w:r>
    </w:p>
    <w:p>
      <w:pPr>
        <w:pStyle w:val="Normal1"/>
        <w:numPr>
          <w:ilvl w:val="0"/>
          <w:numId w:val="4"/>
        </w:numPr>
        <w:pBdr/>
        <w:tabs>
          <w:tab w:val="clear" w:pos="720"/>
          <w:tab w:val="right" w:pos="9582" w:leader="none"/>
        </w:tabs>
        <w:spacing w:lineRule="auto" w:line="360"/>
        <w:jc w:val="both"/>
        <w:rPr>
          <w:rFonts w:ascii="Calibri" w:hAnsi="Calibri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color w:val="000000"/>
        </w:rPr>
        <w:t>Resguard del banc de l’ingrés de la matrícula per al curs, segons els preu establert en les ordenances municipals.</w:t>
      </w:r>
    </w:p>
    <w:p>
      <w:pPr>
        <w:pStyle w:val="Normal1"/>
        <w:numPr>
          <w:ilvl w:val="0"/>
          <w:numId w:val="4"/>
        </w:numPr>
        <w:pBdr/>
        <w:tabs>
          <w:tab w:val="clear" w:pos="720"/>
          <w:tab w:val="right" w:pos="9582" w:leader="none"/>
        </w:tabs>
        <w:spacing w:lineRule="auto" w:line="360"/>
        <w:jc w:val="both"/>
        <w:rPr>
          <w:rFonts w:ascii="Calibri" w:hAnsi="Calibri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color w:val="000000"/>
        </w:rPr>
        <w:t>Full d’incripció.</w:t>
      </w:r>
    </w:p>
    <w:p>
      <w:pPr>
        <w:pStyle w:val="Normal1"/>
        <w:numPr>
          <w:ilvl w:val="0"/>
          <w:numId w:val="4"/>
        </w:numPr>
        <w:pBdr/>
        <w:tabs>
          <w:tab w:val="clear" w:pos="720"/>
          <w:tab w:val="right" w:pos="9582" w:leader="none"/>
        </w:tabs>
        <w:spacing w:lineRule="auto" w:line="360"/>
        <w:jc w:val="both"/>
        <w:rPr>
          <w:rFonts w:ascii="Calibri" w:hAnsi="Calibri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color w:val="000000"/>
        </w:rPr>
        <w:t>Fotocòpia del SIP.</w:t>
      </w:r>
    </w:p>
    <w:p>
      <w:pPr>
        <w:pStyle w:val="Normal1"/>
        <w:numPr>
          <w:ilvl w:val="0"/>
          <w:numId w:val="4"/>
        </w:numPr>
        <w:pBdr/>
        <w:tabs>
          <w:tab w:val="clear" w:pos="720"/>
          <w:tab w:val="right" w:pos="9582" w:leader="none"/>
        </w:tabs>
        <w:spacing w:lineRule="auto" w:line="360"/>
        <w:jc w:val="both"/>
        <w:rPr>
          <w:rFonts w:ascii="Calibri" w:hAnsi="Calibri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color w:val="000000"/>
        </w:rPr>
        <w:t>Foto de carnet.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 w:asciiTheme="majorHAnsi" w:hAnsiTheme="majorHAnsi"/>
          <w:color w:val="38761D"/>
        </w:rPr>
        <w:t xml:space="preserve">          </w:t>
      </w:r>
      <w:r>
        <w:rPr>
          <w:rFonts w:eastAsia="Verdana" w:cs="Verdana" w:ascii="Calibri" w:hAnsi="Calibri" w:asciiTheme="majorHAnsi" w:hAnsiTheme="majorHAnsi"/>
        </w:rPr>
        <w:t xml:space="preserve">        </w:t>
      </w:r>
      <w:r>
        <w:rPr>
          <w:rFonts w:eastAsia="Verdana" w:cs="Verdana" w:ascii="Calibri" w:hAnsi="Calibri" w:asciiTheme="majorHAnsi" w:hAnsiTheme="majorHAnsi"/>
        </w:rPr>
        <w:t>-    Fotocòpia DNI dels pares o tutors legals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 w:asciiTheme="majorHAnsi" w:hAnsiTheme="majorHAnsi"/>
        </w:rPr>
        <w:t>- Pagament dels rebuts: el pagament de les quotes establertes es realitzarà mensualment mijantçant domiciliació bancaria els primers dies del mes en curs.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 w:asciiTheme="majorHAnsi" w:hAnsiTheme="majorHAnsi"/>
        </w:rPr>
        <w:t>- La no-assistència al centre durant un període de temps prolongat no comporta cap descopmte en l’import de la quota mensual d’ensenyament.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 w:asciiTheme="majorHAnsi" w:hAnsiTheme="majorHAnsi"/>
        </w:rPr>
        <w:t>- ALtes i baixes:la baixa voluntària amb renúncia de la plaça es farà mitjançant la comunicació escrita al centre i la posterior signatura en el moment d’efectuar se la baixa. Haurà de ser efectuada pel pare/mare o representants legals del xiquet /ta.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 w:asciiTheme="majorHAnsi" w:hAnsiTheme="majorHAnsi"/>
          <w:b/>
          <w:color w:val="000000"/>
        </w:rPr>
        <w:t>Article 16.</w:t>
      </w:r>
      <w:r>
        <w:rPr>
          <w:rFonts w:eastAsia="Verdana" w:cs="Verdana" w:ascii="Calibri" w:hAnsi="Calibri" w:asciiTheme="majorHAnsi" w:hAnsiTheme="majorHAnsi"/>
          <w:color w:val="000000"/>
        </w:rPr>
        <w:t xml:space="preserve"> No s’hi admetran xiquets malalts o amb símptomes de febre per bé d’altres xiquets. </w:t>
      </w:r>
      <w:r>
        <w:rPr>
          <w:rFonts w:eastAsia="Verdana" w:cs="Verdana" w:ascii="Calibri" w:hAnsi="Calibri" w:asciiTheme="majorHAnsi" w:hAnsiTheme="majorHAnsi"/>
        </w:rPr>
        <w:t>Quan a l’escola ve</w:t>
      </w:r>
      <w:r>
        <w:rPr>
          <w:rFonts w:eastAsia="Verdana" w:cs="Verdana" w:ascii="Calibri" w:hAnsi="Calibri" w:asciiTheme="majorHAnsi" w:hAnsiTheme="majorHAnsi"/>
          <w:b/>
          <w:color w:val="38761D"/>
        </w:rPr>
        <w:t xml:space="preserve"> </w:t>
      </w:r>
      <w:r>
        <w:rPr>
          <w:rFonts w:eastAsia="Verdana" w:cs="Verdana" w:ascii="Calibri" w:hAnsi="Calibri" w:asciiTheme="majorHAnsi" w:hAnsiTheme="majorHAnsi"/>
        </w:rPr>
        <w:t xml:space="preserve">un xiquet/ta amb una malaltia transmissible, exposa als altres al perill de contagi . Per tant </w:t>
      </w:r>
      <w:r>
        <w:rPr>
          <w:rFonts w:eastAsia="Verdana" w:cs="Verdana" w:ascii="Calibri" w:hAnsi="Calibri" w:asciiTheme="majorHAnsi" w:hAnsiTheme="majorHAnsi"/>
          <w:b/>
        </w:rPr>
        <w:t xml:space="preserve">NO </w:t>
      </w:r>
      <w:r>
        <w:rPr>
          <w:rFonts w:eastAsia="Verdana" w:cs="Verdana" w:ascii="Calibri" w:hAnsi="Calibri" w:asciiTheme="majorHAnsi" w:hAnsiTheme="majorHAnsi"/>
        </w:rPr>
        <w:t>es podrà asssistir a l’escoleta en els casos de: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/>
        </w:rPr>
      </w:r>
    </w:p>
    <w:p>
      <w:pPr>
        <w:pStyle w:val="Normal1"/>
        <w:widowControl w:val="false"/>
        <w:numPr>
          <w:ilvl w:val="0"/>
          <w:numId w:val="7"/>
        </w:numPr>
        <w:pBdr/>
        <w:tabs>
          <w:tab w:val="clear" w:pos="720"/>
          <w:tab w:val="right" w:pos="9582" w:leader="none"/>
        </w:tabs>
        <w:spacing w:lineRule="auto" w:line="360"/>
        <w:ind w:left="720" w:right="33" w:hanging="36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 w:asciiTheme="majorHAnsi" w:hAnsiTheme="majorHAnsi"/>
          <w:u w:val="single"/>
        </w:rPr>
        <w:t>Febra</w:t>
      </w:r>
      <w:r>
        <w:rPr>
          <w:rFonts w:eastAsia="Verdana" w:cs="Verdana" w:ascii="Calibri" w:hAnsi="Calibri" w:asciiTheme="majorHAnsi" w:hAnsiTheme="majorHAnsi"/>
        </w:rPr>
        <w:t>: temperatura superior a 37,5ºC, fins que estiga 24h sense febra.</w:t>
      </w:r>
    </w:p>
    <w:p>
      <w:pPr>
        <w:pStyle w:val="Normal1"/>
        <w:widowControl w:val="false"/>
        <w:numPr>
          <w:ilvl w:val="0"/>
          <w:numId w:val="7"/>
        </w:numPr>
        <w:pBdr/>
        <w:tabs>
          <w:tab w:val="clear" w:pos="720"/>
          <w:tab w:val="right" w:pos="9582" w:leader="none"/>
        </w:tabs>
        <w:spacing w:lineRule="auto" w:line="360"/>
        <w:ind w:left="720" w:right="33" w:hanging="36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 w:asciiTheme="majorHAnsi" w:hAnsiTheme="majorHAnsi"/>
          <w:u w:val="single"/>
        </w:rPr>
        <w:t>Diarrea</w:t>
      </w:r>
      <w:r>
        <w:rPr>
          <w:rFonts w:eastAsia="Verdana" w:cs="Verdana" w:ascii="Calibri" w:hAnsi="Calibri" w:asciiTheme="majorHAnsi" w:hAnsiTheme="majorHAnsi"/>
        </w:rPr>
        <w:t>: podrà tornar quant hagen passat 24 hores amb deposicions normals.</w:t>
      </w:r>
    </w:p>
    <w:p>
      <w:pPr>
        <w:pStyle w:val="Normal1"/>
        <w:widowControl w:val="false"/>
        <w:numPr>
          <w:ilvl w:val="0"/>
          <w:numId w:val="7"/>
        </w:numPr>
        <w:pBdr/>
        <w:tabs>
          <w:tab w:val="clear" w:pos="720"/>
          <w:tab w:val="right" w:pos="9582" w:leader="none"/>
        </w:tabs>
        <w:spacing w:lineRule="auto" w:line="360"/>
        <w:ind w:left="720" w:right="33" w:hanging="36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 w:asciiTheme="majorHAnsi" w:hAnsiTheme="majorHAnsi"/>
          <w:u w:val="single"/>
        </w:rPr>
        <w:t>Conjuntivitis purulenta</w:t>
      </w:r>
      <w:r>
        <w:rPr>
          <w:rFonts w:eastAsia="Verdana" w:cs="Verdana" w:ascii="Calibri" w:hAnsi="Calibri" w:asciiTheme="majorHAnsi" w:hAnsiTheme="majorHAnsi"/>
        </w:rPr>
        <w:t>: ulls amb lleganyes amb pus.</w:t>
      </w:r>
    </w:p>
    <w:p>
      <w:pPr>
        <w:pStyle w:val="Normal1"/>
        <w:widowControl w:val="false"/>
        <w:numPr>
          <w:ilvl w:val="0"/>
          <w:numId w:val="7"/>
        </w:numPr>
        <w:pBdr/>
        <w:tabs>
          <w:tab w:val="clear" w:pos="720"/>
          <w:tab w:val="right" w:pos="9582" w:leader="none"/>
        </w:tabs>
        <w:spacing w:lineRule="auto" w:line="360"/>
        <w:ind w:left="720" w:right="33" w:hanging="36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 w:asciiTheme="majorHAnsi" w:hAnsiTheme="majorHAnsi"/>
          <w:u w:val="single"/>
        </w:rPr>
        <w:t>Estomatitis</w:t>
      </w:r>
      <w:r>
        <w:rPr>
          <w:rFonts w:eastAsia="Verdana" w:cs="Verdana" w:ascii="Calibri" w:hAnsi="Calibri" w:asciiTheme="majorHAnsi" w:hAnsiTheme="majorHAnsi"/>
        </w:rPr>
        <w:t>: afeccions de la mucosa de la boca.</w:t>
      </w:r>
    </w:p>
    <w:p>
      <w:pPr>
        <w:pStyle w:val="Normal1"/>
        <w:widowControl w:val="false"/>
        <w:numPr>
          <w:ilvl w:val="0"/>
          <w:numId w:val="7"/>
        </w:numPr>
        <w:pBdr/>
        <w:tabs>
          <w:tab w:val="clear" w:pos="720"/>
          <w:tab w:val="right" w:pos="9582" w:leader="none"/>
        </w:tabs>
        <w:spacing w:lineRule="auto" w:line="360"/>
        <w:ind w:left="720" w:right="33" w:hanging="36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 w:asciiTheme="majorHAnsi" w:hAnsiTheme="majorHAnsi"/>
          <w:u w:val="single"/>
        </w:rPr>
        <w:t>Parasitosi intestinal</w:t>
      </w:r>
      <w:r>
        <w:rPr>
          <w:rFonts w:eastAsia="Verdana" w:cs="Verdana" w:ascii="Calibri" w:hAnsi="Calibri" w:asciiTheme="majorHAnsi" w:hAnsiTheme="majorHAnsi"/>
        </w:rPr>
        <w:t>: diarrea explosiva o presència de cucs.</w:t>
      </w:r>
    </w:p>
    <w:p>
      <w:pPr>
        <w:pStyle w:val="Normal1"/>
        <w:widowControl w:val="false"/>
        <w:numPr>
          <w:ilvl w:val="0"/>
          <w:numId w:val="7"/>
        </w:numPr>
        <w:pBdr/>
        <w:tabs>
          <w:tab w:val="clear" w:pos="720"/>
          <w:tab w:val="right" w:pos="9582" w:leader="none"/>
        </w:tabs>
        <w:spacing w:lineRule="auto" w:line="360"/>
        <w:ind w:left="720" w:right="33" w:hanging="36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 w:asciiTheme="majorHAnsi" w:hAnsiTheme="majorHAnsi"/>
          <w:u w:val="single"/>
        </w:rPr>
        <w:t>Polls o llémenes en cabells</w:t>
      </w:r>
      <w:r>
        <w:rPr>
          <w:rFonts w:eastAsia="Verdana" w:cs="Verdana" w:ascii="Calibri" w:hAnsi="Calibri" w:asciiTheme="majorHAnsi" w:hAnsiTheme="majorHAnsi"/>
        </w:rPr>
        <w:t>: fins a la desaparició total dels paràsits i de les llémenes.</w:t>
      </w:r>
    </w:p>
    <w:p>
      <w:pPr>
        <w:pStyle w:val="Normal1"/>
        <w:widowControl w:val="false"/>
        <w:numPr>
          <w:ilvl w:val="0"/>
          <w:numId w:val="7"/>
        </w:numPr>
        <w:pBdr/>
        <w:tabs>
          <w:tab w:val="clear" w:pos="720"/>
          <w:tab w:val="right" w:pos="9582" w:leader="none"/>
        </w:tabs>
        <w:spacing w:lineRule="auto" w:line="360"/>
        <w:ind w:left="720" w:right="33" w:hanging="36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 w:asciiTheme="majorHAnsi" w:hAnsiTheme="majorHAnsi"/>
          <w:u w:val="single"/>
        </w:rPr>
        <w:t>Erupcions i altres afectacions de la pell</w:t>
      </w:r>
      <w:r>
        <w:rPr>
          <w:rFonts w:eastAsia="Verdana" w:cs="Verdana" w:ascii="Calibri" w:hAnsi="Calibri" w:asciiTheme="majorHAnsi" w:hAnsiTheme="majorHAnsi"/>
        </w:rPr>
        <w:t>: excepte si un informe mèdic amb el diagnòstic  indica que no és contagiós.</w:t>
      </w:r>
    </w:p>
    <w:p>
      <w:pPr>
        <w:pStyle w:val="Normal1"/>
        <w:widowControl w:val="false"/>
        <w:numPr>
          <w:ilvl w:val="0"/>
          <w:numId w:val="8"/>
        </w:numPr>
        <w:pBdr/>
        <w:tabs>
          <w:tab w:val="clear" w:pos="720"/>
          <w:tab w:val="right" w:pos="9582" w:leader="none"/>
        </w:tabs>
        <w:spacing w:lineRule="auto" w:line="360"/>
        <w:ind w:left="720" w:right="33" w:hanging="36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 w:asciiTheme="majorHAnsi" w:hAnsiTheme="majorHAnsi"/>
          <w:u w:val="single"/>
        </w:rPr>
        <w:t>Escarlatina</w:t>
      </w:r>
      <w:r>
        <w:rPr>
          <w:rFonts w:eastAsia="Verdana" w:cs="Verdana" w:ascii="Calibri" w:hAnsi="Calibri" w:asciiTheme="majorHAnsi" w:hAnsiTheme="majorHAnsi"/>
        </w:rPr>
        <w:t>:com a mínim després de 48 hores d’haver començat el tractament antimicrobià, fins i que no tinga febra.</w:t>
      </w:r>
    </w:p>
    <w:p>
      <w:pPr>
        <w:pStyle w:val="Normal1"/>
        <w:widowControl w:val="false"/>
        <w:numPr>
          <w:ilvl w:val="0"/>
          <w:numId w:val="8"/>
        </w:numPr>
        <w:pBdr/>
        <w:tabs>
          <w:tab w:val="clear" w:pos="720"/>
          <w:tab w:val="right" w:pos="9582" w:leader="none"/>
        </w:tabs>
        <w:spacing w:lineRule="auto" w:line="360"/>
        <w:ind w:left="720" w:right="33" w:hanging="36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 w:asciiTheme="majorHAnsi" w:hAnsiTheme="majorHAnsi"/>
          <w:u w:val="single"/>
        </w:rPr>
        <w:t>Bronquitis,hepatitis,mononucleosi infecciosa,erictema infecciós</w:t>
      </w:r>
      <w:r>
        <w:rPr>
          <w:rFonts w:eastAsia="Verdana" w:cs="Verdana" w:ascii="Calibri" w:hAnsi="Calibri" w:asciiTheme="majorHAnsi" w:hAnsiTheme="majorHAnsi"/>
        </w:rPr>
        <w:t>:fins que el personal pediàtric faça constar per escrit la seua curació.</w:t>
      </w:r>
    </w:p>
    <w:p>
      <w:pPr>
        <w:pStyle w:val="Normal1"/>
        <w:widowControl w:val="false"/>
        <w:numPr>
          <w:ilvl w:val="0"/>
          <w:numId w:val="8"/>
        </w:numPr>
        <w:pBdr/>
        <w:tabs>
          <w:tab w:val="clear" w:pos="720"/>
          <w:tab w:val="right" w:pos="9582" w:leader="none"/>
        </w:tabs>
        <w:spacing w:lineRule="auto" w:line="360"/>
        <w:ind w:left="720" w:right="33" w:hanging="36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 w:asciiTheme="majorHAnsi" w:hAnsiTheme="majorHAnsi"/>
          <w:u w:val="single"/>
        </w:rPr>
        <w:t>Galteres</w:t>
      </w:r>
      <w:r>
        <w:rPr>
          <w:rFonts w:eastAsia="Verdana" w:cs="Verdana" w:ascii="Calibri" w:hAnsi="Calibri" w:asciiTheme="majorHAnsi" w:hAnsiTheme="majorHAnsi"/>
        </w:rPr>
        <w:t>:fins a 9 dies despés de la inflamaciò de les glàndules paròtides.</w:t>
      </w:r>
    </w:p>
    <w:p>
      <w:pPr>
        <w:pStyle w:val="Normal1"/>
        <w:widowControl w:val="false"/>
        <w:numPr>
          <w:ilvl w:val="0"/>
          <w:numId w:val="8"/>
        </w:numPr>
        <w:pBdr/>
        <w:tabs>
          <w:tab w:val="clear" w:pos="720"/>
          <w:tab w:val="right" w:pos="9582" w:leader="none"/>
        </w:tabs>
        <w:spacing w:lineRule="auto" w:line="360"/>
        <w:ind w:left="720" w:right="33" w:hanging="36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 w:asciiTheme="majorHAnsi" w:hAnsiTheme="majorHAnsi"/>
        </w:rPr>
        <w:t xml:space="preserve"> </w:t>
      </w:r>
      <w:r>
        <w:rPr>
          <w:rFonts w:eastAsia="Verdana" w:cs="Verdana" w:ascii="Calibri" w:hAnsi="Calibri" w:asciiTheme="majorHAnsi" w:hAnsiTheme="majorHAnsi"/>
          <w:u w:val="single"/>
        </w:rPr>
        <w:t>Herpangina</w:t>
      </w:r>
      <w:r>
        <w:rPr>
          <w:rFonts w:eastAsia="Verdana" w:cs="Verdana" w:ascii="Calibri" w:hAnsi="Calibri" w:asciiTheme="majorHAnsi" w:hAnsiTheme="majorHAnsi"/>
        </w:rPr>
        <w:t>(estomatitis vesiculosa amb exantema): fins que s’assequen les últimes lesios de la boca,mans o peus. Es demanarà un informe pediàtric per</w:t>
      </w:r>
      <w:r>
        <w:rPr>
          <w:rFonts w:eastAsia="Verdana" w:cs="Verdana" w:ascii="Calibri" w:hAnsi="Calibri" w:asciiTheme="majorHAnsi" w:hAnsiTheme="majorHAnsi"/>
          <w:b/>
          <w:color w:val="38761D"/>
        </w:rPr>
        <w:t xml:space="preserve"> </w:t>
      </w:r>
      <w:r>
        <w:rPr>
          <w:rFonts w:eastAsia="Verdana" w:cs="Verdana" w:ascii="Calibri" w:hAnsi="Calibri" w:asciiTheme="majorHAnsi" w:hAnsiTheme="majorHAnsi"/>
        </w:rPr>
        <w:t>escrit que indique que no és contagiosa.</w:t>
      </w:r>
    </w:p>
    <w:p>
      <w:pPr>
        <w:pStyle w:val="Normal1"/>
        <w:widowControl w:val="false"/>
        <w:numPr>
          <w:ilvl w:val="0"/>
          <w:numId w:val="8"/>
        </w:numPr>
        <w:pBdr/>
        <w:tabs>
          <w:tab w:val="clear" w:pos="720"/>
          <w:tab w:val="right" w:pos="9582" w:leader="none"/>
        </w:tabs>
        <w:spacing w:lineRule="auto" w:line="360"/>
        <w:ind w:left="720" w:right="33" w:hanging="36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 w:asciiTheme="majorHAnsi" w:hAnsiTheme="majorHAnsi"/>
          <w:u w:val="single"/>
        </w:rPr>
        <w:t>Meningitis</w:t>
      </w:r>
      <w:r>
        <w:rPr>
          <w:rFonts w:eastAsia="Verdana" w:cs="Verdana" w:ascii="Calibri" w:hAnsi="Calibri" w:asciiTheme="majorHAnsi" w:hAnsiTheme="majorHAnsi"/>
        </w:rPr>
        <w:t>: fins que el personal pediàtric faça constar per escrit la seua curació.</w:t>
      </w:r>
    </w:p>
    <w:p>
      <w:pPr>
        <w:pStyle w:val="Normal1"/>
        <w:widowControl w:val="false"/>
        <w:numPr>
          <w:ilvl w:val="0"/>
          <w:numId w:val="8"/>
        </w:numPr>
        <w:pBdr/>
        <w:tabs>
          <w:tab w:val="clear" w:pos="720"/>
          <w:tab w:val="right" w:pos="9582" w:leader="none"/>
        </w:tabs>
        <w:spacing w:lineRule="auto" w:line="360"/>
        <w:ind w:left="720" w:right="33" w:hanging="36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 w:asciiTheme="majorHAnsi" w:hAnsiTheme="majorHAnsi"/>
          <w:u w:val="single"/>
        </w:rPr>
        <w:t>Tuberculosi</w:t>
      </w:r>
      <w:r>
        <w:rPr>
          <w:rFonts w:eastAsia="Verdana" w:cs="Verdana" w:ascii="Calibri" w:hAnsi="Calibri" w:asciiTheme="majorHAnsi" w:hAnsiTheme="majorHAnsi"/>
        </w:rPr>
        <w:t>:fins que el personal mèdic corresponent determine per escrit que no és infecciosa.</w:t>
      </w:r>
    </w:p>
    <w:p>
      <w:pPr>
        <w:pStyle w:val="Normal1"/>
        <w:widowControl w:val="false"/>
        <w:numPr>
          <w:ilvl w:val="0"/>
          <w:numId w:val="8"/>
        </w:numPr>
        <w:pBdr/>
        <w:tabs>
          <w:tab w:val="clear" w:pos="720"/>
          <w:tab w:val="right" w:pos="9582" w:leader="none"/>
        </w:tabs>
        <w:spacing w:lineRule="auto" w:line="360"/>
        <w:ind w:left="720" w:right="33" w:hanging="36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 w:asciiTheme="majorHAnsi" w:hAnsiTheme="majorHAnsi"/>
          <w:u w:val="single"/>
        </w:rPr>
        <w:t>Rubèola</w:t>
      </w:r>
      <w:r>
        <w:rPr>
          <w:rFonts w:eastAsia="Verdana" w:cs="Verdana" w:ascii="Calibri" w:hAnsi="Calibri" w:asciiTheme="majorHAnsi" w:hAnsiTheme="majorHAnsi"/>
        </w:rPr>
        <w:t>: fins a 5 dies després de l’inici de l’exantema es demanarà un informe pediàtric per escrit.</w:t>
      </w:r>
    </w:p>
    <w:p>
      <w:pPr>
        <w:pStyle w:val="Normal1"/>
        <w:widowControl w:val="false"/>
        <w:numPr>
          <w:ilvl w:val="0"/>
          <w:numId w:val="8"/>
        </w:numPr>
        <w:pBdr/>
        <w:tabs>
          <w:tab w:val="clear" w:pos="720"/>
          <w:tab w:val="right" w:pos="9582" w:leader="none"/>
        </w:tabs>
        <w:spacing w:lineRule="auto" w:line="360"/>
        <w:ind w:left="720" w:right="33" w:hanging="36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 w:asciiTheme="majorHAnsi" w:hAnsiTheme="majorHAnsi"/>
          <w:u w:val="single"/>
        </w:rPr>
        <w:t>Varicel.la</w:t>
      </w:r>
      <w:r>
        <w:rPr>
          <w:rFonts w:eastAsia="Verdana" w:cs="Verdana" w:ascii="Calibri" w:hAnsi="Calibri" w:asciiTheme="majorHAnsi" w:hAnsiTheme="majorHAnsi"/>
        </w:rPr>
        <w:t>: com a mínim 7 dies o fins que s’assequen les crostes. Es demanarà un informe pediàtric escrit.</w:t>
      </w:r>
    </w:p>
    <w:p>
      <w:pPr>
        <w:pStyle w:val="Normal1"/>
        <w:widowControl w:val="false"/>
        <w:numPr>
          <w:ilvl w:val="0"/>
          <w:numId w:val="8"/>
        </w:numPr>
        <w:pBdr/>
        <w:tabs>
          <w:tab w:val="clear" w:pos="720"/>
          <w:tab w:val="right" w:pos="9582" w:leader="none"/>
        </w:tabs>
        <w:spacing w:lineRule="auto" w:line="360"/>
        <w:ind w:left="720" w:right="33" w:hanging="36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 w:asciiTheme="majorHAnsi" w:hAnsiTheme="majorHAnsi"/>
          <w:u w:val="single"/>
        </w:rPr>
        <w:t>Pallola</w:t>
      </w:r>
      <w:r>
        <w:rPr>
          <w:rFonts w:eastAsia="Verdana" w:cs="Verdana" w:ascii="Calibri" w:hAnsi="Calibri" w:asciiTheme="majorHAnsi" w:hAnsiTheme="majorHAnsi"/>
        </w:rPr>
        <w:t>. Com a mínim fins a 7 dies després de l’inici de l’exantema. Es demanarà un informe pediàtric escrit.</w:t>
      </w:r>
    </w:p>
    <w:p>
      <w:pPr>
        <w:pStyle w:val="Normal1"/>
        <w:widowControl w:val="false"/>
        <w:numPr>
          <w:ilvl w:val="0"/>
          <w:numId w:val="8"/>
        </w:numPr>
        <w:pBdr/>
        <w:tabs>
          <w:tab w:val="clear" w:pos="720"/>
          <w:tab w:val="right" w:pos="9582" w:leader="none"/>
        </w:tabs>
        <w:spacing w:lineRule="auto" w:line="360"/>
        <w:ind w:left="720" w:right="33" w:hanging="36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 w:asciiTheme="majorHAnsi" w:hAnsiTheme="majorHAnsi"/>
          <w:u w:val="single"/>
        </w:rPr>
        <w:t>Impétigo</w:t>
      </w:r>
      <w:r>
        <w:rPr>
          <w:rFonts w:eastAsia="Verdana" w:cs="Verdana" w:ascii="Calibri" w:hAnsi="Calibri" w:asciiTheme="majorHAnsi" w:hAnsiTheme="majorHAnsi"/>
        </w:rPr>
        <w:t>: És una infecció de la pell que afecta principalment a xiquets i xiquetes. Normalment apareix en forma de llagues roges a la cara, especialment al voltant del nas i la boca.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firstLine="72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 w:asciiTheme="majorHAnsi" w:hAnsiTheme="majorHAnsi"/>
        </w:rPr>
        <w:t>No es donarà cap medicament que es puga donar a casa cada huit hores, si és imprescindible donar-lo, caldrà l’autorització i petició escrita dels pares i avalada amb el document de la prescipció facultativa. En el full d’autorització haurà de constar el nom del xiquet/ta, el nom del medicament, la quantitat que se li ha de donar i l’hora que se la de prendre, la durada del tractament i la conservació del medicament (nevera o temperatura ambient).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firstLine="72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 w:asciiTheme="majorHAnsi" w:hAnsiTheme="majorHAnsi"/>
        </w:rPr>
        <w:t xml:space="preserve">      </w:t>
      </w:r>
      <w:r>
        <w:rPr>
          <w:rFonts w:eastAsia="Verdana" w:cs="Verdana" w:ascii="Calibri" w:hAnsi="Calibri" w:asciiTheme="majorHAnsi" w:hAnsiTheme="majorHAnsi"/>
        </w:rPr>
        <w:t>Si durant l’estada a l’escola es detecta febra i se li ha d’administrar de manera necessària algún antitèrmic, serà convinent que tinguem en el centre l’autorització actualitzada del tipus d’antitèrmic i la dosi.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</w:rPr>
      </w:pPr>
      <w:r>
        <w:rPr>
          <w:rFonts w:eastAsia="Verdana" w:cs="Verdana" w:ascii="Calibri" w:hAnsi="Calibri" w:asciiTheme="majorHAnsi" w:hAnsiTheme="majorHAnsi"/>
          <w:b/>
        </w:rPr>
        <w:t>Article 17</w:t>
      </w:r>
      <w:r>
        <w:rPr>
          <w:rFonts w:eastAsia="Verdana" w:cs="Verdana" w:ascii="Calibri" w:hAnsi="Calibri" w:asciiTheme="majorHAnsi" w:hAnsiTheme="majorHAnsi"/>
        </w:rPr>
        <w:t xml:space="preserve">. Els xiquets i xiquetes hauran d’assistir a l’escola amb roba i calçat fàcil de posar i llevar, hauran d’evitar els tirants que es botonen amb sivelles, i mai no col·locar-los baix dels jerseis. A les bates i peces d’abric cal cosir una beta o tira de goma per poder-ho penjar amb facilitat al penjador . Els xiquets i xiquets hauran de portar una roba de recanvi d’hivern i una altra d’estiu, la qual quedarà a l’escola per a casos de necessitat. 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/>
          <w:color w:val="000000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b/>
          <w:color w:val="000000"/>
          <w:u w:val="single"/>
        </w:rPr>
        <w:t>HAURAN DE PORTAR A PRINCIPI DE CURS</w:t>
      </w:r>
      <w:r>
        <w:rPr>
          <w:rFonts w:eastAsia="Verdana" w:cs="Verdana" w:ascii="Calibri" w:hAnsi="Calibri" w:asciiTheme="majorHAnsi" w:hAnsiTheme="majorHAnsi"/>
          <w:color w:val="000000"/>
        </w:rPr>
        <w:t xml:space="preserve"> un paquet gran de </w:t>
      </w:r>
      <w:r>
        <w:rPr>
          <w:rFonts w:eastAsia="Verdana" w:cs="Verdana" w:ascii="Calibri" w:hAnsi="Calibri" w:asciiTheme="majorHAnsi" w:hAnsiTheme="majorHAnsi"/>
        </w:rPr>
        <w:t>mocadors de paper i tovalletes humides, els xiquets que n’utilitzen, bolquers i tot  rotulat amb el nom</w:t>
      </w:r>
      <w:r>
        <w:rPr>
          <w:rFonts w:eastAsia="Verdana" w:cs="Verdana" w:ascii="Calibri" w:hAnsi="Calibri" w:asciiTheme="majorHAnsi" w:hAnsiTheme="majorHAnsi"/>
          <w:color w:val="000000"/>
        </w:rPr>
        <w:t>. Les reposicions es realitzaran a demanda del personal educador.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  <w:u w:val="single"/>
        </w:rPr>
      </w:pPr>
      <w:r>
        <w:rPr>
          <w:rFonts w:eastAsia="Verdana" w:cs="Verdana" w:ascii="Calibri" w:hAnsi="Calibri"/>
          <w:color w:val="000000"/>
          <w:u w:val="single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b/>
          <w:color w:val="000000"/>
        </w:rPr>
        <w:t>Article 18.</w:t>
      </w:r>
      <w:r>
        <w:rPr>
          <w:rFonts w:eastAsia="Verdana" w:cs="Verdana" w:ascii="Calibri" w:hAnsi="Calibri" w:asciiTheme="majorHAnsi" w:hAnsiTheme="majorHAnsi"/>
          <w:color w:val="000000"/>
        </w:rPr>
        <w:t xml:space="preserve"> Pel que fa al menjar, els xiquets i xiquetes portaran esmorzar i berenar. De portar qualsevol tipus de recipient, este no serà mai de vidre. També portaran una botelleta d’aigua que es quedarà a l’aula per al seu ús diari. 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/>
          <w:color w:val="000000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b/>
          <w:color w:val="000000"/>
        </w:rPr>
        <w:t>Article 19.</w:t>
      </w:r>
      <w:r>
        <w:rPr>
          <w:rFonts w:eastAsia="Verdana" w:cs="Verdana" w:ascii="Calibri" w:hAnsi="Calibri" w:asciiTheme="majorHAnsi" w:hAnsiTheme="majorHAnsi"/>
          <w:color w:val="000000"/>
        </w:rPr>
        <w:t xml:space="preserve"> Els xiquets i xiquetes sols podran dur joguets a l’escola durant el període d’adaptació. De portar-ne, l’escola no se’n farà responsable. 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/>
          <w:color w:val="000000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b/>
          <w:color w:val="000000"/>
        </w:rPr>
        <w:t>Article 20.</w:t>
      </w:r>
      <w:r>
        <w:rPr>
          <w:rFonts w:eastAsia="Verdana" w:cs="Verdana" w:ascii="Calibri" w:hAnsi="Calibri" w:asciiTheme="majorHAnsi" w:hAnsiTheme="majorHAnsi"/>
          <w:color w:val="000000"/>
        </w:rPr>
        <w:t xml:space="preserve"> Els pares i les mares faran constar per escrit  la seua autorització perquè els seus fills participen en les activitats extraescolars, eixides o excursions que es realitzen al centre. En casos concrets s’hi admetrà la renúncia a les activitats programades.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  <w:u w:val="single"/>
        </w:rPr>
      </w:pPr>
      <w:r>
        <w:rPr>
          <w:rFonts w:eastAsia="Verdana" w:cs="Verdana" w:ascii="Calibri" w:hAnsi="Calibri"/>
          <w:color w:val="000000"/>
          <w:u w:val="single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  <w:u w:val="single"/>
        </w:rPr>
      </w:pPr>
      <w:r>
        <w:rPr>
          <w:rFonts w:eastAsia="Verdana" w:cs="Verdana" w:ascii="Calibri" w:hAnsi="Calibri"/>
          <w:color w:val="000000"/>
          <w:u w:val="single"/>
        </w:rPr>
      </w:r>
    </w:p>
    <w:p>
      <w:pPr>
        <w:pStyle w:val="Normal1"/>
        <w:widowControl w:val="false"/>
        <w:pBdr/>
        <w:tabs>
          <w:tab w:val="clear" w:pos="720"/>
          <w:tab w:val="left" w:pos="1870" w:leader="none"/>
        </w:tabs>
        <w:spacing w:lineRule="auto" w:line="360"/>
        <w:ind w:right="33" w:firstLine="720"/>
        <w:jc w:val="center"/>
        <w:rPr>
          <w:rFonts w:ascii="Calibri" w:hAnsi="Calibri" w:eastAsia="Verdana" w:cs="Verdana" w:asciiTheme="majorHAnsi" w:hAnsiTheme="majorHAnsi"/>
          <w:color w:val="000000"/>
          <w:u w:val="single"/>
        </w:rPr>
      </w:pPr>
      <w:r>
        <w:rPr>
          <w:rFonts w:eastAsia="Verdana" w:cs="Verdana" w:ascii="Calibri" w:hAnsi="Calibri" w:asciiTheme="majorHAnsi" w:hAnsiTheme="majorHAnsi"/>
          <w:b/>
          <w:color w:val="000000"/>
          <w:u w:val="single"/>
        </w:rPr>
        <w:t>De les infraccions i sancions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/>
          <w:color w:val="000000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b/>
          <w:color w:val="000000"/>
        </w:rPr>
        <w:t>Article 21.</w:t>
      </w:r>
      <w:r>
        <w:rPr>
          <w:rFonts w:eastAsia="Verdana" w:cs="Verdana" w:ascii="Calibri" w:hAnsi="Calibri" w:asciiTheme="majorHAnsi" w:hAnsiTheme="majorHAnsi"/>
          <w:color w:val="000000"/>
        </w:rPr>
        <w:t xml:space="preserve"> Les infraccions al present reglament podran ser lleus i greus. Seran infraccions lleus les infraccions no reiterades al present reglament. Seran infraccions greus la no observància reiterada d’allò que estableix el reglament, i aquelles que així considere l’òrgan consultiu de l’escola infantil.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/>
          <w:color w:val="000000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b/>
          <w:color w:val="000000"/>
        </w:rPr>
        <w:t>Article 22.</w:t>
      </w:r>
      <w:r>
        <w:rPr>
          <w:rFonts w:eastAsia="Verdana" w:cs="Verdana" w:ascii="Calibri" w:hAnsi="Calibri" w:asciiTheme="majorHAnsi" w:hAnsiTheme="majorHAnsi"/>
          <w:color w:val="000000"/>
        </w:rPr>
        <w:t xml:space="preserve"> Les infraccions lleus es podran sancionar amb la no admissió del xiquet en l’escola per un període no superior a una setmana. Les infraccions greus podran ser sancionades amb la no admissió del xiquet o xiqueta per un període d’un a tres mesos o definitivament, segons la gravetat del cas</w:t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/>
          <w:color w:val="000000"/>
        </w:rPr>
      </w:r>
    </w:p>
    <w:p>
      <w:pPr>
        <w:pStyle w:val="Normal1"/>
        <w:widowControl w:val="false"/>
        <w:pBdr/>
        <w:tabs>
          <w:tab w:val="clear" w:pos="720"/>
          <w:tab w:val="right" w:pos="9582" w:leader="none"/>
        </w:tabs>
        <w:spacing w:lineRule="auto" w:line="360"/>
        <w:ind w:right="33" w:hanging="0"/>
        <w:jc w:val="both"/>
        <w:rPr/>
      </w:pPr>
      <w:r>
        <w:rPr>
          <w:rFonts w:eastAsia="Verdana" w:cs="Verdana" w:ascii="Calibri" w:hAnsi="Calibri" w:asciiTheme="majorHAnsi" w:hAnsiTheme="majorHAnsi"/>
          <w:b/>
          <w:color w:val="000000"/>
        </w:rPr>
        <w:t xml:space="preserve">Article 23. </w:t>
      </w:r>
      <w:r>
        <w:rPr>
          <w:rFonts w:eastAsia="Verdana" w:cs="Verdana" w:ascii="Calibri" w:hAnsi="Calibri" w:asciiTheme="majorHAnsi" w:hAnsiTheme="majorHAnsi"/>
          <w:color w:val="000000"/>
        </w:rPr>
        <w:t>Es consideren persones responsables a tots els efectes els pares i les mares, o els tutors dels xiquets i xiquetes matriculats en l’escola infantil.</w:t>
      </w:r>
    </w:p>
    <w:sectPr>
      <w:headerReference w:type="default" r:id="rId2"/>
      <w:footerReference w:type="default" r:id="rId3"/>
      <w:type w:val="nextPage"/>
      <w:pgSz w:w="11906" w:h="16838"/>
      <w:pgMar w:left="1440" w:right="1400" w:header="709" w:top="1304" w:footer="709" w:bottom="1418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Calibri">
    <w:charset w:val="00"/>
    <w:family w:val="roman"/>
    <w:pitch w:val="variable"/>
  </w:font>
  <w:font w:name="Batang">
    <w:altName w:val="바탕"/>
    <w:charset w:val="01"/>
    <w:family w:val="auto"/>
    <w:pitch w:val="default"/>
  </w:font>
  <w:font w:name="OpenSymbol">
    <w:altName w:val="Arial Unicode MS"/>
    <w:charset w:val="01"/>
    <w:family w:val="auto"/>
    <w:pitch w:val="default"/>
  </w:font>
  <w:font w:name="Arial Narrow">
    <w:charset w:val="01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keepNext w:val="true"/>
      <w:pBdr>
        <w:top w:val="single" w:sz="12" w:space="1" w:color="000080"/>
      </w:pBdr>
      <w:jc w:val="center"/>
      <w:rPr>
        <w:i/>
        <w:i/>
        <w:color w:val="000080"/>
        <w:sz w:val="20"/>
        <w:szCs w:val="20"/>
      </w:rPr>
    </w:pPr>
    <w:r>
      <w:rPr>
        <w:i/>
        <w:color w:val="000080"/>
        <w:sz w:val="20"/>
        <w:szCs w:val="20"/>
      </w:rPr>
    </w:r>
  </w:p>
  <w:p>
    <w:pPr>
      <w:pStyle w:val="Normal1"/>
      <w:keepNext w:val="true"/>
      <w:pBdr>
        <w:top w:val="single" w:sz="12" w:space="1" w:color="000080"/>
      </w:pBdr>
      <w:jc w:val="center"/>
      <w:rPr/>
    </w:pPr>
    <w:r>
      <w:rPr>
        <w:b/>
        <w:i/>
        <w:color w:val="000080"/>
        <w:sz w:val="20"/>
        <w:szCs w:val="20"/>
      </w:rPr>
      <w:t>CIF P-4622000-J         C/ Major, 2   46725 Ròtova (</w:t>
    </w:r>
    <w:r>
      <w:rPr>
        <w:b/>
        <w:i/>
        <w:color w:val="000080"/>
        <w:sz w:val="20"/>
        <w:szCs w:val="20"/>
      </w:rPr>
      <w:t>La Safor</w:t>
    </w:r>
    <w:r>
      <w:rPr>
        <w:b/>
        <w:i/>
        <w:color w:val="000080"/>
        <w:sz w:val="20"/>
        <w:szCs w:val="20"/>
      </w:rPr>
      <w:t>)        Tel. 96 295 70 11        Fax 96 295 70 09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rPr>
        <w:color w:val="000000"/>
        <w:sz w:val="16"/>
        <w:szCs w:val="16"/>
      </w:rPr>
    </w:pPr>
    <w:r>
      <w:rPr>
        <w:color w:val="000000"/>
        <w:sz w:val="16"/>
        <w:szCs w:val="16"/>
      </w:rPr>
      <w:drawing>
        <wp:anchor behindDoc="0" distT="0" distB="0" distL="0" distR="0" simplePos="0" locked="0" layoutInCell="1" allowOverlap="1" relativeHeight="9">
          <wp:simplePos x="0" y="0"/>
          <wp:positionH relativeFrom="column">
            <wp:posOffset>1099185</wp:posOffset>
          </wp:positionH>
          <wp:positionV relativeFrom="paragraph">
            <wp:posOffset>-107950</wp:posOffset>
          </wp:positionV>
          <wp:extent cx="3622040" cy="810260"/>
          <wp:effectExtent l="0" t="0" r="0" b="0"/>
          <wp:wrapSquare wrapText="largest"/>
          <wp:docPr id="1" name="Imat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622040" cy="810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-"/>
      <w:lvlJc w:val="left"/>
      <w:pPr>
        <w:ind w:left="1281" w:hanging="360"/>
      </w:pPr>
      <w:rPr>
        <w:rFonts w:ascii="Batang" w:hAnsi="Batang" w:cs="Batang" w:hint="default"/>
        <w:vertAlign w:val="baseline"/>
        <w:position w:val="0"/>
        <w:sz w:val="24"/>
        <w:b w:val="false"/>
        <w:rFonts w:cs="Batang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  <w:position w:val="0"/>
        <w:sz w:val="24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  <w:position w:val="0"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  <w:position w:val="0"/>
        <w:sz w:val="24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  <w:position w:val="0"/>
        <w:sz w:val="24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  <w:position w:val="0"/>
        <w:sz w:val="24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  <w:position w:val="0"/>
        <w:sz w:val="24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  <w:position w:val="0"/>
        <w:sz w:val="24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  <w:position w:val="0"/>
        <w:sz w:val="24"/>
      </w:rPr>
    </w:lvl>
  </w:abstractNum>
  <w:abstractNum w:abstractNumId="2">
    <w:lvl w:ilvl="0">
      <w:start w:val="1"/>
      <w:numFmt w:val="bullet"/>
      <w:lvlText w:val="-"/>
      <w:lvlJc w:val="left"/>
      <w:pPr>
        <w:ind w:left="1641" w:hanging="360"/>
      </w:pPr>
      <w:rPr>
        <w:rFonts w:ascii="Batang" w:hAnsi="Batang" w:cs="Batang" w:hint="default"/>
        <w:vertAlign w:val="baseline"/>
        <w:position w:val="0"/>
        <w:sz w:val="24"/>
        <w:b/>
        <w:rFonts w:cs="Batang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  <w:position w:val="0"/>
        <w:sz w:val="24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  <w:position w:val="0"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  <w:position w:val="0"/>
        <w:sz w:val="24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  <w:position w:val="0"/>
        <w:sz w:val="24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  <w:position w:val="0"/>
        <w:sz w:val="24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  <w:position w:val="0"/>
        <w:sz w:val="24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  <w:position w:val="0"/>
        <w:sz w:val="24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  <w:position w:val="0"/>
        <w:sz w:val="24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1641" w:hanging="360"/>
      </w:pPr>
      <w:rPr>
        <w:rFonts w:ascii="Batang" w:hAnsi="Batang" w:cs="Batang" w:hint="default"/>
        <w:vertAlign w:val="baseline"/>
        <w:position w:val="0"/>
        <w:sz w:val="24"/>
        <w:b w:val="false"/>
        <w:rFonts w:cs="Batang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  <w:position w:val="0"/>
        <w:sz w:val="24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  <w:position w:val="0"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  <w:position w:val="0"/>
        <w:sz w:val="24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  <w:position w:val="0"/>
        <w:sz w:val="24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  <w:position w:val="0"/>
        <w:sz w:val="24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  <w:position w:val="0"/>
        <w:sz w:val="24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  <w:position w:val="0"/>
        <w:sz w:val="24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  <w:position w:val="0"/>
        <w:sz w:val="24"/>
      </w:rPr>
    </w:lvl>
  </w:abstractNum>
  <w:abstractNum w:abstractNumId="5">
    <w:lvl w:ilvl="0">
      <w:numFmt w:val="bullet"/>
      <w:lvlText w:val="-"/>
      <w:lvlJc w:val="left"/>
      <w:pPr>
        <w:ind w:left="1065" w:hanging="705"/>
      </w:pPr>
      <w:rPr>
        <w:rFonts w:ascii="Arial Narrow" w:hAnsi="Arial Narrow" w:cs="Arial Narrow" w:hint="default"/>
        <w:rFonts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rFonts w:ascii="Arial Narrow" w:hAnsi="Arial Narrow" w:cs="Arial Narrow" w:hint="default"/>
        <w:rFonts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20"/>
  <w:compat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ca-ES" w:eastAsia="es-E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67e1a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ca-ES" w:eastAsia="es-ES" w:bidi="ar-SA"/>
    </w:rPr>
  </w:style>
  <w:style w:type="paragraph" w:styleId="Encapalament1">
    <w:name w:val="Heading 1"/>
    <w:next w:val="Normal1"/>
    <w:qFormat/>
    <w:rsid w:val="007f3583"/>
    <w:pPr>
      <w:keepNext w:val="true"/>
      <w:keepLines/>
      <w:widowControl/>
      <w:bidi w:val="0"/>
      <w:spacing w:before="480" w:after="120"/>
      <w:jc w:val="left"/>
      <w:outlineLvl w:val="0"/>
    </w:pPr>
    <w:rPr>
      <w:rFonts w:ascii="Times New Roman" w:hAnsi="Times New Roman" w:eastAsia="Times New Roman" w:cs="Times New Roman"/>
      <w:b/>
      <w:color w:val="auto"/>
      <w:kern w:val="0"/>
      <w:sz w:val="48"/>
      <w:szCs w:val="48"/>
      <w:lang w:val="ca-ES" w:eastAsia="es-ES" w:bidi="ar-SA"/>
    </w:rPr>
  </w:style>
  <w:style w:type="paragraph" w:styleId="Encapalament2">
    <w:name w:val="Heading 2"/>
    <w:next w:val="Normal1"/>
    <w:qFormat/>
    <w:rsid w:val="007f3583"/>
    <w:pPr>
      <w:keepNext w:val="true"/>
      <w:keepLines/>
      <w:widowControl/>
      <w:bidi w:val="0"/>
      <w:spacing w:before="360" w:after="80"/>
      <w:jc w:val="left"/>
      <w:outlineLvl w:val="1"/>
    </w:pPr>
    <w:rPr>
      <w:rFonts w:ascii="Times New Roman" w:hAnsi="Times New Roman" w:eastAsia="Times New Roman" w:cs="Times New Roman"/>
      <w:b/>
      <w:color w:val="auto"/>
      <w:kern w:val="0"/>
      <w:sz w:val="36"/>
      <w:szCs w:val="36"/>
      <w:lang w:val="ca-ES" w:eastAsia="es-ES" w:bidi="ar-SA"/>
    </w:rPr>
  </w:style>
  <w:style w:type="paragraph" w:styleId="Encapalament3">
    <w:name w:val="Heading 3"/>
    <w:next w:val="Normal1"/>
    <w:qFormat/>
    <w:rsid w:val="007f3583"/>
    <w:pPr>
      <w:keepNext w:val="true"/>
      <w:keepLines/>
      <w:widowControl/>
      <w:bidi w:val="0"/>
      <w:spacing w:before="280" w:after="80"/>
      <w:jc w:val="left"/>
      <w:outlineLvl w:val="2"/>
    </w:pPr>
    <w:rPr>
      <w:rFonts w:ascii="Times New Roman" w:hAnsi="Times New Roman" w:eastAsia="Times New Roman" w:cs="Times New Roman"/>
      <w:b/>
      <w:color w:val="auto"/>
      <w:kern w:val="0"/>
      <w:sz w:val="28"/>
      <w:szCs w:val="28"/>
      <w:lang w:val="ca-ES" w:eastAsia="es-ES" w:bidi="ar-SA"/>
    </w:rPr>
  </w:style>
  <w:style w:type="paragraph" w:styleId="Encapalament4">
    <w:name w:val="Heading 4"/>
    <w:next w:val="Normal1"/>
    <w:qFormat/>
    <w:rsid w:val="007f3583"/>
    <w:pPr>
      <w:keepNext w:val="true"/>
      <w:keepLines/>
      <w:widowControl/>
      <w:bidi w:val="0"/>
      <w:spacing w:before="240" w:after="40"/>
      <w:jc w:val="left"/>
      <w:outlineLvl w:val="3"/>
    </w:pPr>
    <w:rPr>
      <w:rFonts w:ascii="Times New Roman" w:hAnsi="Times New Roman" w:eastAsia="Times New Roman" w:cs="Times New Roman"/>
      <w:b/>
      <w:color w:val="auto"/>
      <w:kern w:val="0"/>
      <w:sz w:val="24"/>
      <w:szCs w:val="24"/>
      <w:lang w:val="ca-ES" w:eastAsia="es-ES" w:bidi="ar-SA"/>
    </w:rPr>
  </w:style>
  <w:style w:type="paragraph" w:styleId="Encapalament5">
    <w:name w:val="Heading 5"/>
    <w:next w:val="Normal1"/>
    <w:qFormat/>
    <w:rsid w:val="007f3583"/>
    <w:pPr>
      <w:keepNext w:val="true"/>
      <w:keepLines/>
      <w:widowControl/>
      <w:bidi w:val="0"/>
      <w:spacing w:before="220" w:after="40"/>
      <w:jc w:val="left"/>
      <w:outlineLvl w:val="4"/>
    </w:pPr>
    <w:rPr>
      <w:rFonts w:ascii="Times New Roman" w:hAnsi="Times New Roman" w:eastAsia="Times New Roman" w:cs="Times New Roman"/>
      <w:b/>
      <w:color w:val="auto"/>
      <w:kern w:val="0"/>
      <w:sz w:val="22"/>
      <w:szCs w:val="22"/>
      <w:lang w:val="ca-ES" w:eastAsia="es-ES" w:bidi="ar-SA"/>
    </w:rPr>
  </w:style>
  <w:style w:type="paragraph" w:styleId="Encapalament6">
    <w:name w:val="Heading 6"/>
    <w:next w:val="Normal1"/>
    <w:qFormat/>
    <w:rsid w:val="007f3583"/>
    <w:pPr>
      <w:keepNext w:val="true"/>
      <w:keepLines/>
      <w:widowControl/>
      <w:bidi w:val="0"/>
      <w:spacing w:before="200" w:after="40"/>
      <w:jc w:val="left"/>
      <w:outlineLvl w:val="5"/>
    </w:pPr>
    <w:rPr>
      <w:rFonts w:ascii="Times New Roman" w:hAnsi="Times New Roman" w:eastAsia="Times New Roman" w:cs="Times New Roman"/>
      <w:b/>
      <w:color w:val="auto"/>
      <w:kern w:val="0"/>
      <w:sz w:val="20"/>
      <w:szCs w:val="20"/>
      <w:lang w:val="ca-ES" w:eastAsia="es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globoCar" w:customStyle="1">
    <w:name w:val="Texto de globo Car"/>
    <w:basedOn w:val="DefaultParagraphFont"/>
    <w:link w:val="Textodeglobo"/>
    <w:uiPriority w:val="99"/>
    <w:semiHidden/>
    <w:qFormat/>
    <w:rsid w:val="007e1719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eastAsia="Batang" w:cs="Batang"/>
      <w:b w:val="false"/>
      <w:position w:val="0"/>
      <w:sz w:val="24"/>
      <w:vertAlign w:val="baseline"/>
    </w:rPr>
  </w:style>
  <w:style w:type="character" w:styleId="ListLabel2">
    <w:name w:val="ListLabel 2"/>
    <w:qFormat/>
    <w:rPr>
      <w:position w:val="0"/>
      <w:sz w:val="24"/>
      <w:vertAlign w:val="baseline"/>
    </w:rPr>
  </w:style>
  <w:style w:type="character" w:styleId="ListLabel3">
    <w:name w:val="ListLabel 3"/>
    <w:qFormat/>
    <w:rPr>
      <w:position w:val="0"/>
      <w:sz w:val="24"/>
      <w:vertAlign w:val="baseline"/>
    </w:rPr>
  </w:style>
  <w:style w:type="character" w:styleId="ListLabel4">
    <w:name w:val="ListLabel 4"/>
    <w:qFormat/>
    <w:rPr>
      <w:position w:val="0"/>
      <w:sz w:val="24"/>
      <w:vertAlign w:val="baseline"/>
    </w:rPr>
  </w:style>
  <w:style w:type="character" w:styleId="ListLabel5">
    <w:name w:val="ListLabel 5"/>
    <w:qFormat/>
    <w:rPr>
      <w:position w:val="0"/>
      <w:sz w:val="24"/>
      <w:vertAlign w:val="baseline"/>
    </w:rPr>
  </w:style>
  <w:style w:type="character" w:styleId="ListLabel6">
    <w:name w:val="ListLabel 6"/>
    <w:qFormat/>
    <w:rPr>
      <w:position w:val="0"/>
      <w:sz w:val="24"/>
      <w:vertAlign w:val="baseline"/>
    </w:rPr>
  </w:style>
  <w:style w:type="character" w:styleId="ListLabel7">
    <w:name w:val="ListLabel 7"/>
    <w:qFormat/>
    <w:rPr>
      <w:position w:val="0"/>
      <w:sz w:val="24"/>
      <w:vertAlign w:val="baseline"/>
    </w:rPr>
  </w:style>
  <w:style w:type="character" w:styleId="ListLabel8">
    <w:name w:val="ListLabel 8"/>
    <w:qFormat/>
    <w:rPr>
      <w:position w:val="0"/>
      <w:sz w:val="24"/>
      <w:vertAlign w:val="baseline"/>
    </w:rPr>
  </w:style>
  <w:style w:type="character" w:styleId="ListLabel9">
    <w:name w:val="ListLabel 9"/>
    <w:qFormat/>
    <w:rPr>
      <w:position w:val="0"/>
      <w:sz w:val="24"/>
      <w:vertAlign w:val="baseline"/>
    </w:rPr>
  </w:style>
  <w:style w:type="character" w:styleId="ListLabel10">
    <w:name w:val="ListLabel 10"/>
    <w:qFormat/>
    <w:rPr>
      <w:rFonts w:eastAsia="Batang" w:cs="Batang"/>
      <w:b/>
      <w:position w:val="0"/>
      <w:sz w:val="24"/>
      <w:vertAlign w:val="baseline"/>
    </w:rPr>
  </w:style>
  <w:style w:type="character" w:styleId="ListLabel11">
    <w:name w:val="ListLabel 11"/>
    <w:qFormat/>
    <w:rPr>
      <w:position w:val="0"/>
      <w:sz w:val="24"/>
      <w:vertAlign w:val="baseline"/>
    </w:rPr>
  </w:style>
  <w:style w:type="character" w:styleId="ListLabel12">
    <w:name w:val="ListLabel 12"/>
    <w:qFormat/>
    <w:rPr>
      <w:position w:val="0"/>
      <w:sz w:val="24"/>
      <w:vertAlign w:val="baseline"/>
    </w:rPr>
  </w:style>
  <w:style w:type="character" w:styleId="ListLabel13">
    <w:name w:val="ListLabel 13"/>
    <w:qFormat/>
    <w:rPr>
      <w:position w:val="0"/>
      <w:sz w:val="24"/>
      <w:vertAlign w:val="baseline"/>
    </w:rPr>
  </w:style>
  <w:style w:type="character" w:styleId="ListLabel14">
    <w:name w:val="ListLabel 14"/>
    <w:qFormat/>
    <w:rPr>
      <w:position w:val="0"/>
      <w:sz w:val="24"/>
      <w:vertAlign w:val="baseline"/>
    </w:rPr>
  </w:style>
  <w:style w:type="character" w:styleId="ListLabel15">
    <w:name w:val="ListLabel 15"/>
    <w:qFormat/>
    <w:rPr>
      <w:position w:val="0"/>
      <w:sz w:val="24"/>
      <w:vertAlign w:val="baseline"/>
    </w:rPr>
  </w:style>
  <w:style w:type="character" w:styleId="ListLabel16">
    <w:name w:val="ListLabel 16"/>
    <w:qFormat/>
    <w:rPr>
      <w:position w:val="0"/>
      <w:sz w:val="24"/>
      <w:vertAlign w:val="baseline"/>
    </w:rPr>
  </w:style>
  <w:style w:type="character" w:styleId="ListLabel17">
    <w:name w:val="ListLabel 17"/>
    <w:qFormat/>
    <w:rPr>
      <w:position w:val="0"/>
      <w:sz w:val="24"/>
      <w:vertAlign w:val="baseline"/>
    </w:rPr>
  </w:style>
  <w:style w:type="character" w:styleId="ListLabel18">
    <w:name w:val="ListLabel 18"/>
    <w:qFormat/>
    <w:rPr>
      <w:position w:val="0"/>
      <w:sz w:val="24"/>
      <w:vertAlign w:val="baseline"/>
    </w:rPr>
  </w:style>
  <w:style w:type="character" w:styleId="ListLabel19">
    <w:name w:val="ListLabel 19"/>
    <w:qFormat/>
    <w:rPr>
      <w:rFonts w:eastAsia="Batang" w:cs="Batang"/>
      <w:b w:val="false"/>
      <w:position w:val="0"/>
      <w:sz w:val="24"/>
      <w:vertAlign w:val="baseline"/>
    </w:rPr>
  </w:style>
  <w:style w:type="character" w:styleId="ListLabel20">
    <w:name w:val="ListLabel 20"/>
    <w:qFormat/>
    <w:rPr>
      <w:position w:val="0"/>
      <w:sz w:val="24"/>
      <w:vertAlign w:val="baseline"/>
    </w:rPr>
  </w:style>
  <w:style w:type="character" w:styleId="ListLabel21">
    <w:name w:val="ListLabel 21"/>
    <w:qFormat/>
    <w:rPr>
      <w:position w:val="0"/>
      <w:sz w:val="24"/>
      <w:vertAlign w:val="baseline"/>
    </w:rPr>
  </w:style>
  <w:style w:type="character" w:styleId="ListLabel22">
    <w:name w:val="ListLabel 22"/>
    <w:qFormat/>
    <w:rPr>
      <w:position w:val="0"/>
      <w:sz w:val="24"/>
      <w:vertAlign w:val="baseline"/>
    </w:rPr>
  </w:style>
  <w:style w:type="character" w:styleId="ListLabel23">
    <w:name w:val="ListLabel 23"/>
    <w:qFormat/>
    <w:rPr>
      <w:position w:val="0"/>
      <w:sz w:val="24"/>
      <w:vertAlign w:val="baseline"/>
    </w:rPr>
  </w:style>
  <w:style w:type="character" w:styleId="ListLabel24">
    <w:name w:val="ListLabel 24"/>
    <w:qFormat/>
    <w:rPr>
      <w:position w:val="0"/>
      <w:sz w:val="24"/>
      <w:vertAlign w:val="baseline"/>
    </w:rPr>
  </w:style>
  <w:style w:type="character" w:styleId="ListLabel25">
    <w:name w:val="ListLabel 25"/>
    <w:qFormat/>
    <w:rPr>
      <w:position w:val="0"/>
      <w:sz w:val="24"/>
      <w:vertAlign w:val="baseline"/>
    </w:rPr>
  </w:style>
  <w:style w:type="character" w:styleId="ListLabel26">
    <w:name w:val="ListLabel 26"/>
    <w:qFormat/>
    <w:rPr>
      <w:position w:val="0"/>
      <w:sz w:val="24"/>
      <w:vertAlign w:val="baseline"/>
    </w:rPr>
  </w:style>
  <w:style w:type="character" w:styleId="ListLabel27">
    <w:name w:val="ListLabel 27"/>
    <w:qFormat/>
    <w:rPr>
      <w:position w:val="0"/>
      <w:sz w:val="24"/>
      <w:vertAlign w:val="baseline"/>
    </w:rPr>
  </w:style>
  <w:style w:type="character" w:styleId="ListLabel28">
    <w:name w:val="ListLabel 28"/>
    <w:qFormat/>
    <w:rPr>
      <w:u w:val="none"/>
    </w:rPr>
  </w:style>
  <w:style w:type="character" w:styleId="ListLabel29">
    <w:name w:val="ListLabel 29"/>
    <w:qFormat/>
    <w:rPr>
      <w:u w:val="none"/>
    </w:rPr>
  </w:style>
  <w:style w:type="character" w:styleId="ListLabel30">
    <w:name w:val="ListLabel 30"/>
    <w:qFormat/>
    <w:rPr>
      <w:u w:val="none"/>
    </w:rPr>
  </w:style>
  <w:style w:type="character" w:styleId="ListLabel31">
    <w:name w:val="ListLabel 31"/>
    <w:qFormat/>
    <w:rPr>
      <w:u w:val="none"/>
    </w:rPr>
  </w:style>
  <w:style w:type="character" w:styleId="ListLabel32">
    <w:name w:val="ListLabel 32"/>
    <w:qFormat/>
    <w:rPr>
      <w:u w:val="none"/>
    </w:rPr>
  </w:style>
  <w:style w:type="character" w:styleId="ListLabel33">
    <w:name w:val="ListLabel 33"/>
    <w:qFormat/>
    <w:rPr>
      <w:u w:val="none"/>
    </w:rPr>
  </w:style>
  <w:style w:type="character" w:styleId="ListLabel34">
    <w:name w:val="ListLabel 34"/>
    <w:qFormat/>
    <w:rPr>
      <w:u w:val="none"/>
    </w:rPr>
  </w:style>
  <w:style w:type="character" w:styleId="ListLabel35">
    <w:name w:val="ListLabel 35"/>
    <w:qFormat/>
    <w:rPr>
      <w:u w:val="none"/>
    </w:rPr>
  </w:style>
  <w:style w:type="character" w:styleId="ListLabel36">
    <w:name w:val="ListLabel 36"/>
    <w:qFormat/>
    <w:rPr>
      <w:u w:val="none"/>
    </w:rPr>
  </w:style>
  <w:style w:type="character" w:styleId="ListLabel37">
    <w:name w:val="ListLabel 37"/>
    <w:qFormat/>
    <w:rPr>
      <w:rFonts w:eastAsia="Batang" w:cs="Batang"/>
      <w:b w:val="false"/>
      <w:position w:val="0"/>
      <w:sz w:val="24"/>
      <w:vertAlign w:val="baseline"/>
    </w:rPr>
  </w:style>
  <w:style w:type="character" w:styleId="ListLabel38">
    <w:name w:val="ListLabel 38"/>
    <w:qFormat/>
    <w:rPr>
      <w:position w:val="0"/>
      <w:sz w:val="24"/>
      <w:vertAlign w:val="baseline"/>
    </w:rPr>
  </w:style>
  <w:style w:type="character" w:styleId="ListLabel39">
    <w:name w:val="ListLabel 39"/>
    <w:qFormat/>
    <w:rPr>
      <w:position w:val="0"/>
      <w:sz w:val="24"/>
      <w:vertAlign w:val="baseline"/>
    </w:rPr>
  </w:style>
  <w:style w:type="character" w:styleId="ListLabel40">
    <w:name w:val="ListLabel 40"/>
    <w:qFormat/>
    <w:rPr>
      <w:position w:val="0"/>
      <w:sz w:val="24"/>
      <w:vertAlign w:val="baseline"/>
    </w:rPr>
  </w:style>
  <w:style w:type="character" w:styleId="ListLabel41">
    <w:name w:val="ListLabel 41"/>
    <w:qFormat/>
    <w:rPr>
      <w:position w:val="0"/>
      <w:sz w:val="24"/>
      <w:vertAlign w:val="baseline"/>
    </w:rPr>
  </w:style>
  <w:style w:type="character" w:styleId="ListLabel42">
    <w:name w:val="ListLabel 42"/>
    <w:qFormat/>
    <w:rPr>
      <w:position w:val="0"/>
      <w:sz w:val="24"/>
      <w:vertAlign w:val="baseline"/>
    </w:rPr>
  </w:style>
  <w:style w:type="character" w:styleId="ListLabel43">
    <w:name w:val="ListLabel 43"/>
    <w:qFormat/>
    <w:rPr>
      <w:position w:val="0"/>
      <w:sz w:val="24"/>
      <w:vertAlign w:val="baseline"/>
    </w:rPr>
  </w:style>
  <w:style w:type="character" w:styleId="ListLabel44">
    <w:name w:val="ListLabel 44"/>
    <w:qFormat/>
    <w:rPr>
      <w:position w:val="0"/>
      <w:sz w:val="24"/>
      <w:vertAlign w:val="baseline"/>
    </w:rPr>
  </w:style>
  <w:style w:type="character" w:styleId="ListLabel45">
    <w:name w:val="ListLabel 45"/>
    <w:qFormat/>
    <w:rPr>
      <w:position w:val="0"/>
      <w:sz w:val="24"/>
      <w:vertAlign w:val="baseline"/>
    </w:rPr>
  </w:style>
  <w:style w:type="character" w:styleId="ListLabel46">
    <w:name w:val="ListLabel 46"/>
    <w:qFormat/>
    <w:rPr>
      <w:u w:val="none"/>
    </w:rPr>
  </w:style>
  <w:style w:type="character" w:styleId="ListLabel47">
    <w:name w:val="ListLabel 47"/>
    <w:qFormat/>
    <w:rPr>
      <w:u w:val="none"/>
    </w:rPr>
  </w:style>
  <w:style w:type="character" w:styleId="ListLabel48">
    <w:name w:val="ListLabel 48"/>
    <w:qFormat/>
    <w:rPr>
      <w:u w:val="none"/>
    </w:rPr>
  </w:style>
  <w:style w:type="character" w:styleId="ListLabel49">
    <w:name w:val="ListLabel 49"/>
    <w:qFormat/>
    <w:rPr>
      <w:u w:val="none"/>
    </w:rPr>
  </w:style>
  <w:style w:type="character" w:styleId="ListLabel50">
    <w:name w:val="ListLabel 50"/>
    <w:qFormat/>
    <w:rPr>
      <w:u w:val="none"/>
    </w:rPr>
  </w:style>
  <w:style w:type="character" w:styleId="ListLabel51">
    <w:name w:val="ListLabel 51"/>
    <w:qFormat/>
    <w:rPr>
      <w:u w:val="none"/>
    </w:rPr>
  </w:style>
  <w:style w:type="character" w:styleId="ListLabel52">
    <w:name w:val="ListLabel 52"/>
    <w:qFormat/>
    <w:rPr>
      <w:u w:val="none"/>
    </w:rPr>
  </w:style>
  <w:style w:type="character" w:styleId="ListLabel53">
    <w:name w:val="ListLabel 53"/>
    <w:qFormat/>
    <w:rPr>
      <w:u w:val="none"/>
    </w:rPr>
  </w:style>
  <w:style w:type="character" w:styleId="ListLabel54">
    <w:name w:val="ListLabel 54"/>
    <w:qFormat/>
    <w:rPr>
      <w:u w:val="none"/>
    </w:rPr>
  </w:style>
  <w:style w:type="character" w:styleId="ListLabel55">
    <w:name w:val="ListLabel 55"/>
    <w:qFormat/>
    <w:rPr>
      <w:rFonts w:eastAsia="Times New Roman" w:cs="Times New Roman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eastAsia="Times New Roman" w:cs="Times New Roman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Courier New"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Normal1" w:customStyle="1">
    <w:name w:val="LO-normal"/>
    <w:qFormat/>
    <w:rsid w:val="007f3583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ca-ES" w:eastAsia="es-ES" w:bidi="ar-SA"/>
    </w:rPr>
  </w:style>
  <w:style w:type="paragraph" w:styleId="Ttol">
    <w:name w:val="Title"/>
    <w:basedOn w:val="Normal1"/>
    <w:next w:val="Normal1"/>
    <w:qFormat/>
    <w:rsid w:val="007f3583"/>
    <w:pPr>
      <w:keepNext w:val="true"/>
      <w:keepLines/>
      <w:spacing w:before="480" w:after="120"/>
    </w:pPr>
    <w:rPr>
      <w:b/>
      <w:sz w:val="72"/>
      <w:szCs w:val="72"/>
    </w:rPr>
  </w:style>
  <w:style w:type="paragraph" w:styleId="Subttol">
    <w:name w:val="Subtitle"/>
    <w:basedOn w:val="Normal1"/>
    <w:next w:val="Normal1"/>
    <w:qFormat/>
    <w:rsid w:val="007f3583"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7e1719"/>
    <w:pPr/>
    <w:rPr>
      <w:rFonts w:ascii="Tahoma" w:hAnsi="Tahoma" w:cs="Tahoma"/>
      <w:sz w:val="16"/>
      <w:szCs w:val="16"/>
    </w:rPr>
  </w:style>
  <w:style w:type="paragraph" w:styleId="Normal0" w:customStyle="1">
    <w:name w:val="Normal_0"/>
    <w:qFormat/>
    <w:rsid w:val="00e022b4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s-ES" w:eastAsia="es-ES" w:bidi="ar-SA"/>
    </w:rPr>
  </w:style>
  <w:style w:type="paragraph" w:styleId="ListParagraph">
    <w:name w:val="List Paragraph"/>
    <w:basedOn w:val="Normal"/>
    <w:uiPriority w:val="34"/>
    <w:qFormat/>
    <w:rsid w:val="008e4df6"/>
    <w:pPr>
      <w:spacing w:before="0" w:after="0"/>
      <w:ind w:left="720" w:hanging="0"/>
      <w:contextualSpacing/>
    </w:pPr>
    <w:rPr/>
  </w:style>
  <w:style w:type="paragraph" w:styleId="Capalera">
    <w:name w:val="Header"/>
    <w:basedOn w:val="Normal"/>
    <w:pPr/>
    <w:rPr/>
  </w:style>
  <w:style w:type="paragraph" w:styleId="Peudepgina">
    <w:name w:val="Footer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7f3583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Application>LibreOffice/6.2.0.3$Windows_x86 LibreOffice_project/98c6a8a1c6c7b144ce3cc729e34964b47ce25d62</Application>
  <Pages>8</Pages>
  <Words>1769</Words>
  <Characters>9192</Characters>
  <CharactersWithSpaces>10958</CharactersWithSpaces>
  <Paragraphs>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2018-10-18T10:33:00Z</dcterms:created>
  <dc:creator/>
  <dc:description/>
  <dc:language>ca-ES</dc:language>
  <cp:lastModifiedBy/>
  <dcterms:modified xsi:type="dcterms:W3CDTF">2020-05-08T19:49:57Z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